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BAD" w:rsidRPr="00535571" w:rsidRDefault="001E0BEB" w:rsidP="0088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iCs/>
          <w:color w:val="222222"/>
          <w:sz w:val="36"/>
          <w:szCs w:val="36"/>
          <w:lang w:val="en"/>
        </w:rPr>
      </w:pPr>
      <w:r w:rsidRPr="004E55BA">
        <w:rPr>
          <w:sz w:val="24"/>
          <w:szCs w:val="24"/>
        </w:rPr>
        <w:fldChar w:fldCharType="begin"/>
      </w:r>
      <w:r w:rsidR="005A612D" w:rsidRPr="004E55BA">
        <w:rPr>
          <w:sz w:val="24"/>
          <w:szCs w:val="24"/>
        </w:rPr>
        <w:instrText>ADVANCE \y 144</w:instrText>
      </w:r>
      <w:r w:rsidRPr="004E55BA">
        <w:rPr>
          <w:sz w:val="24"/>
          <w:szCs w:val="24"/>
        </w:rPr>
        <w:fldChar w:fldCharType="end"/>
      </w:r>
      <w:r w:rsidR="008D1BAD" w:rsidRPr="00535571">
        <w:rPr>
          <w:b/>
          <w:sz w:val="36"/>
        </w:rPr>
        <w:t>T</w:t>
      </w:r>
      <w:r w:rsidR="008D1BAD" w:rsidRPr="00535571">
        <w:rPr>
          <w:rFonts w:eastAsia="Times New Roman"/>
          <w:b/>
          <w:iCs/>
          <w:color w:val="222222"/>
          <w:sz w:val="36"/>
          <w:szCs w:val="36"/>
          <w:lang w:val="en"/>
        </w:rPr>
        <w:t>he Effect of Population Behavior on New Renewable Energy in Primary Energy Mix for 2025 National Target:</w:t>
      </w:r>
    </w:p>
    <w:p w:rsidR="008D1BAD" w:rsidRPr="00535571" w:rsidRDefault="008D1BAD" w:rsidP="00881D1D">
      <w:pPr>
        <w:jc w:val="center"/>
        <w:rPr>
          <w:rFonts w:eastAsia="Times New Roman"/>
          <w:b/>
          <w:iCs/>
          <w:color w:val="222222"/>
          <w:sz w:val="36"/>
          <w:szCs w:val="36"/>
          <w:lang w:val="en"/>
        </w:rPr>
      </w:pPr>
      <w:r w:rsidRPr="00535571">
        <w:rPr>
          <w:rFonts w:eastAsia="Times New Roman"/>
          <w:b/>
          <w:iCs/>
          <w:color w:val="222222"/>
          <w:sz w:val="36"/>
          <w:szCs w:val="36"/>
          <w:lang w:val="en"/>
        </w:rPr>
        <w:t>Sumedang Regency Review, West Java</w:t>
      </w:r>
    </w:p>
    <w:p w:rsidR="005A612D" w:rsidRDefault="005A612D" w:rsidP="00881D1D">
      <w:pPr>
        <w:rPr>
          <w:iCs/>
          <w:color w:val="000000"/>
        </w:rPr>
      </w:pPr>
    </w:p>
    <w:p w:rsidR="005A612D" w:rsidRPr="002D042D" w:rsidRDefault="00B5558C" w:rsidP="00881D1D">
      <w:pPr>
        <w:spacing w:line="276" w:lineRule="auto"/>
        <w:jc w:val="center"/>
        <w:rPr>
          <w:color w:val="0000FF"/>
          <w:vertAlign w:val="superscript"/>
        </w:rPr>
      </w:pPr>
      <w:r>
        <w:t>Handoko</w:t>
      </w:r>
      <w:r w:rsidR="00403E7B" w:rsidRPr="00AA4D96">
        <w:t>,</w:t>
      </w:r>
      <w:r w:rsidR="00403E7B" w:rsidRPr="00AA4D96">
        <w:rPr>
          <w:vertAlign w:val="superscript"/>
        </w:rPr>
        <w:t>a,*</w:t>
      </w:r>
      <w:r w:rsidR="00CB5523">
        <w:t xml:space="preserve"> and </w:t>
      </w:r>
      <w:r>
        <w:t>Adianto</w:t>
      </w:r>
      <w:r w:rsidR="00747103">
        <w:t>,</w:t>
      </w:r>
      <w:r w:rsidR="004C63ED">
        <w:rPr>
          <w:vertAlign w:val="superscript"/>
        </w:rPr>
        <w:t>b</w:t>
      </w:r>
    </w:p>
    <w:p w:rsidR="002D042D" w:rsidRPr="00937CD8" w:rsidRDefault="00885506" w:rsidP="00881D1D">
      <w:pPr>
        <w:tabs>
          <w:tab w:val="left" w:pos="142"/>
        </w:tabs>
        <w:spacing w:line="276" w:lineRule="auto"/>
        <w:ind w:left="142" w:hanging="142"/>
        <w:jc w:val="both"/>
        <w:rPr>
          <w:color w:val="000000"/>
          <w:sz w:val="18"/>
          <w:szCs w:val="18"/>
        </w:rPr>
      </w:pPr>
      <w:r w:rsidRPr="00937CD8">
        <w:rPr>
          <w:color w:val="000000"/>
          <w:sz w:val="18"/>
          <w:szCs w:val="18"/>
          <w:vertAlign w:val="superscript"/>
        </w:rPr>
        <w:t>a</w:t>
      </w:r>
      <w:r w:rsidR="002D042D" w:rsidRPr="00937CD8">
        <w:rPr>
          <w:color w:val="000000"/>
          <w:sz w:val="18"/>
          <w:szCs w:val="18"/>
          <w:vertAlign w:val="superscript"/>
        </w:rPr>
        <w:t>)</w:t>
      </w:r>
      <w:r w:rsidR="00881D1D">
        <w:rPr>
          <w:color w:val="000000"/>
          <w:sz w:val="18"/>
          <w:szCs w:val="18"/>
          <w:vertAlign w:val="superscript"/>
        </w:rPr>
        <w:tab/>
      </w:r>
      <w:r w:rsidR="00B5558C">
        <w:rPr>
          <w:i/>
          <w:color w:val="000000"/>
          <w:sz w:val="18"/>
          <w:szCs w:val="18"/>
        </w:rPr>
        <w:t>Mechanical Engineering Masters Student, Faculty of Industrial Technology, Trisakti University, Jakarta, Indonesia</w:t>
      </w:r>
    </w:p>
    <w:p w:rsidR="00605B3B" w:rsidRPr="00937CD8" w:rsidRDefault="004C63ED" w:rsidP="00881D1D">
      <w:pPr>
        <w:pStyle w:val="Captions"/>
        <w:tabs>
          <w:tab w:val="left" w:pos="142"/>
        </w:tabs>
        <w:spacing w:line="276" w:lineRule="auto"/>
        <w:ind w:left="142" w:hanging="142"/>
        <w:jc w:val="both"/>
        <w:rPr>
          <w:color w:val="000000"/>
          <w:szCs w:val="18"/>
        </w:rPr>
      </w:pPr>
      <w:r w:rsidRPr="00937CD8">
        <w:rPr>
          <w:color w:val="000000"/>
          <w:szCs w:val="18"/>
          <w:vertAlign w:val="superscript"/>
        </w:rPr>
        <w:t>b</w:t>
      </w:r>
      <w:r w:rsidR="002D042D" w:rsidRPr="00937CD8">
        <w:rPr>
          <w:color w:val="000000"/>
          <w:szCs w:val="18"/>
          <w:vertAlign w:val="superscript"/>
        </w:rPr>
        <w:t>)</w:t>
      </w:r>
      <w:r w:rsidR="00881D1D">
        <w:rPr>
          <w:color w:val="000000"/>
          <w:szCs w:val="18"/>
          <w:vertAlign w:val="superscript"/>
        </w:rPr>
        <w:tab/>
      </w:r>
      <w:r w:rsidR="00535571">
        <w:rPr>
          <w:i/>
          <w:color w:val="000000"/>
          <w:szCs w:val="18"/>
        </w:rPr>
        <w:t>Supervising Lecturer of Mechanical Engineering Students Master of Mechanical Engineering, Faculty of Industrial Technology, Trisakti University, Jakarta, Indonesia; Lecturer in the Department of Mechanical Engineering, Tarumanegara University, Jakarta, Indonesia</w:t>
      </w:r>
    </w:p>
    <w:p w:rsidR="00835079" w:rsidRDefault="00B447D7" w:rsidP="00881D1D">
      <w:pPr>
        <w:pStyle w:val="Captions"/>
        <w:spacing w:line="276" w:lineRule="auto"/>
        <w:jc w:val="left"/>
        <w:rPr>
          <w:szCs w:val="18"/>
        </w:rPr>
      </w:pPr>
      <w:r w:rsidRPr="00937CD8">
        <w:rPr>
          <w:rFonts w:cs="Helvetica"/>
          <w:szCs w:val="18"/>
        </w:rPr>
        <w:t>*</w:t>
      </w:r>
      <w:r w:rsidRPr="00937CD8">
        <w:rPr>
          <w:szCs w:val="18"/>
        </w:rPr>
        <w:t>Corresponding author</w:t>
      </w:r>
      <w:r w:rsidR="00F41AEA" w:rsidRPr="00937CD8">
        <w:rPr>
          <w:szCs w:val="18"/>
        </w:rPr>
        <w:t>:</w:t>
      </w:r>
      <w:r w:rsidR="00804F4B" w:rsidRPr="00937CD8">
        <w:rPr>
          <w:szCs w:val="18"/>
        </w:rPr>
        <w:t xml:space="preserve"> </w:t>
      </w:r>
      <w:hyperlink r:id="rId9" w:history="1">
        <w:r w:rsidR="00881D1D" w:rsidRPr="007756BA">
          <w:rPr>
            <w:rStyle w:val="Hyperlink"/>
            <w:szCs w:val="18"/>
          </w:rPr>
          <w:t>handokomoekiran@ymail.com</w:t>
        </w:r>
      </w:hyperlink>
    </w:p>
    <w:p w:rsidR="00881D1D" w:rsidRDefault="00881D1D" w:rsidP="00881D1D">
      <w:pPr>
        <w:pStyle w:val="Captions"/>
        <w:spacing w:line="276" w:lineRule="auto"/>
        <w:jc w:val="left"/>
        <w:rPr>
          <w:b/>
          <w:szCs w:val="18"/>
        </w:rPr>
      </w:pPr>
    </w:p>
    <w:p w:rsidR="00881D1D" w:rsidRDefault="00881D1D" w:rsidP="00881D1D">
      <w:pPr>
        <w:rPr>
          <w:b/>
          <w:sz w:val="18"/>
          <w:szCs w:val="18"/>
        </w:rPr>
      </w:pPr>
    </w:p>
    <w:p w:rsidR="00881D1D" w:rsidRDefault="00881D1D" w:rsidP="00881D1D">
      <w:pPr>
        <w:rPr>
          <w:b/>
          <w:sz w:val="18"/>
          <w:szCs w:val="18"/>
        </w:rPr>
        <w:sectPr w:rsidR="00881D1D" w:rsidSect="00835079">
          <w:headerReference w:type="default" r:id="rId10"/>
          <w:footerReference w:type="default" r:id="rId11"/>
          <w:footnotePr>
            <w:numRestart w:val="eachSect"/>
          </w:footnotePr>
          <w:endnotePr>
            <w:numFmt w:val="decimal"/>
          </w:endnotePr>
          <w:pgSz w:w="11907" w:h="16840" w:code="9"/>
          <w:pgMar w:top="1440" w:right="1094" w:bottom="1440" w:left="1094" w:header="720" w:footer="431" w:gutter="0"/>
          <w:cols w:space="567"/>
          <w:noEndnote/>
          <w:docGrid w:linePitch="272"/>
        </w:sectPr>
      </w:pPr>
    </w:p>
    <w:p w:rsidR="00CF78B3" w:rsidRPr="00605B3B" w:rsidRDefault="00CF78B3" w:rsidP="00881D1D">
      <w:pPr>
        <w:rPr>
          <w:rFonts w:ascii="Times" w:hAnsi="Times" w:cs="Times"/>
          <w:b/>
          <w:sz w:val="18"/>
          <w:szCs w:val="18"/>
        </w:rPr>
      </w:pPr>
      <w:r w:rsidRPr="00605B3B">
        <w:rPr>
          <w:b/>
          <w:sz w:val="18"/>
          <w:szCs w:val="18"/>
        </w:rPr>
        <w:t>Paper History</w:t>
      </w:r>
    </w:p>
    <w:p w:rsidR="00CF78B3" w:rsidRPr="00605B3B" w:rsidRDefault="00CF78B3" w:rsidP="00881D1D">
      <w:pPr>
        <w:rPr>
          <w:rFonts w:ascii="Times" w:hAnsi="Times" w:cs="Times"/>
          <w:sz w:val="18"/>
          <w:szCs w:val="18"/>
        </w:rPr>
      </w:pPr>
      <w:r w:rsidRPr="00605B3B">
        <w:rPr>
          <w:rFonts w:ascii="Times" w:hAnsi="Times" w:cs="Times"/>
          <w:sz w:val="18"/>
          <w:szCs w:val="18"/>
        </w:rPr>
        <w:t>Received</w:t>
      </w:r>
      <w:r w:rsidR="00BD04BA">
        <w:rPr>
          <w:rFonts w:ascii="Times" w:hAnsi="Times" w:cs="Times"/>
          <w:sz w:val="18"/>
          <w:szCs w:val="18"/>
        </w:rPr>
        <w:t>:</w:t>
      </w:r>
      <w:r w:rsidR="006E7F99">
        <w:rPr>
          <w:rFonts w:ascii="Times" w:hAnsi="Times" w:cs="Times"/>
          <w:sz w:val="18"/>
          <w:szCs w:val="18"/>
        </w:rPr>
        <w:t xml:space="preserve"> </w:t>
      </w:r>
      <w:r w:rsidR="005E767E">
        <w:rPr>
          <w:rFonts w:ascii="Times" w:hAnsi="Times" w:cs="Times"/>
          <w:sz w:val="18"/>
          <w:szCs w:val="18"/>
        </w:rPr>
        <w:t>xxxxx</w:t>
      </w:r>
    </w:p>
    <w:p w:rsidR="00CF78B3" w:rsidRPr="00605B3B" w:rsidRDefault="00CF78B3" w:rsidP="00881D1D">
      <w:pPr>
        <w:rPr>
          <w:rFonts w:ascii="Times" w:hAnsi="Times" w:cs="Times"/>
          <w:sz w:val="18"/>
          <w:szCs w:val="18"/>
        </w:rPr>
      </w:pPr>
      <w:r w:rsidRPr="00605B3B">
        <w:rPr>
          <w:rFonts w:ascii="Times" w:hAnsi="Times" w:cs="Times"/>
          <w:sz w:val="18"/>
          <w:szCs w:val="18"/>
        </w:rPr>
        <w:t>Received in revised form</w:t>
      </w:r>
      <w:r w:rsidR="00BD04BA">
        <w:rPr>
          <w:rFonts w:ascii="Times" w:hAnsi="Times" w:cs="Times"/>
          <w:sz w:val="18"/>
          <w:szCs w:val="18"/>
        </w:rPr>
        <w:t xml:space="preserve">: </w:t>
      </w:r>
      <w:r w:rsidR="005E767E">
        <w:rPr>
          <w:rFonts w:ascii="Times" w:hAnsi="Times" w:cs="Times"/>
          <w:sz w:val="18"/>
          <w:szCs w:val="18"/>
        </w:rPr>
        <w:t>xxxxx</w:t>
      </w:r>
    </w:p>
    <w:p w:rsidR="00CF78B3" w:rsidRPr="00605B3B" w:rsidRDefault="00CF78B3" w:rsidP="00881D1D">
      <w:pPr>
        <w:rPr>
          <w:rFonts w:ascii="Times" w:hAnsi="Times" w:cs="Times"/>
          <w:sz w:val="18"/>
          <w:szCs w:val="18"/>
        </w:rPr>
      </w:pPr>
      <w:r w:rsidRPr="00605B3B">
        <w:rPr>
          <w:rFonts w:ascii="Times" w:hAnsi="Times" w:cs="Times"/>
          <w:sz w:val="18"/>
          <w:szCs w:val="18"/>
        </w:rPr>
        <w:t>Accepted</w:t>
      </w:r>
      <w:r w:rsidR="00BD04BA">
        <w:rPr>
          <w:rFonts w:ascii="Times" w:hAnsi="Times" w:cs="Times"/>
          <w:sz w:val="18"/>
          <w:szCs w:val="18"/>
        </w:rPr>
        <w:t xml:space="preserve">: </w:t>
      </w:r>
      <w:r w:rsidR="005E767E">
        <w:rPr>
          <w:rFonts w:ascii="Times" w:hAnsi="Times" w:cs="Times"/>
          <w:sz w:val="18"/>
          <w:szCs w:val="18"/>
        </w:rPr>
        <w:t>xxxxxxx</w:t>
      </w:r>
    </w:p>
    <w:p w:rsidR="00CF78B3" w:rsidRDefault="00CF78B3" w:rsidP="00881D1D">
      <w:pPr>
        <w:jc w:val="both"/>
        <w:rPr>
          <w:sz w:val="24"/>
        </w:rPr>
      </w:pPr>
    </w:p>
    <w:p w:rsidR="005A612D" w:rsidRDefault="005A612D" w:rsidP="00881D1D">
      <w:pPr>
        <w:jc w:val="both"/>
        <w:rPr>
          <w:b/>
          <w:sz w:val="18"/>
          <w:szCs w:val="18"/>
        </w:rPr>
      </w:pPr>
      <w:r w:rsidRPr="00FA6CAC">
        <w:rPr>
          <w:b/>
          <w:sz w:val="18"/>
          <w:szCs w:val="18"/>
        </w:rPr>
        <w:t>ABSTRACT</w:t>
      </w:r>
    </w:p>
    <w:p w:rsidR="008D37F5" w:rsidRPr="00FA6CAC" w:rsidRDefault="008D37F5" w:rsidP="00881D1D">
      <w:pPr>
        <w:jc w:val="both"/>
        <w:rPr>
          <w:color w:val="0000FF"/>
          <w:sz w:val="16"/>
          <w:szCs w:val="18"/>
        </w:rPr>
      </w:pPr>
    </w:p>
    <w:p w:rsidR="00535571" w:rsidRPr="00BC06CD" w:rsidRDefault="00535571" w:rsidP="0088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iCs/>
          <w:color w:val="222222"/>
          <w:sz w:val="18"/>
          <w:szCs w:val="18"/>
          <w:lang w:val="en"/>
        </w:rPr>
      </w:pPr>
      <w:r w:rsidRPr="00BC06CD">
        <w:rPr>
          <w:rFonts w:eastAsia="Times New Roman"/>
          <w:iCs/>
          <w:color w:val="222222"/>
          <w:sz w:val="18"/>
          <w:szCs w:val="18"/>
          <w:lang w:val="en"/>
        </w:rPr>
        <w:t>The results of the Study of the Agency for the Assessment and Application of Technology in 2018 estimated the primary energy mix target of renewable energy at 23 (twenty three) percent by 2025 will not be reached. It is estimated that only reach 12.9 (twelve point nine) percent. The use of renewable energy, especially biomass and biogas by the population independently has not been included in the calculation of meeting the energy mix target by the government. Even though the potential of primary energy of bio energy in Indonesia is 32,653.8 MW. This study examines the behavior of the population towards the use of renewable energy, especially biomass and biogas in meeting their needs for cooking and business. The face-to-face research was carried out on 85 (eighty-five) respondents and online as many as 16 (sixteen) respondents in 17 (seventeen) villages in 7 (seven) districts in Sumedang Regency. The study was also conducted on 574 (five hundred seventy four) respondents both online and face to face in 366 (three hundred sixty six) villages in 240 (two hundred forty) districts in 91 (ninety one) districts / cities in 22 (twenty two) provinces. From the results of research and analysis of characteristics, descriptive analysis, logistic analysis and calculations; shows that: (a) trends in 2025, Sumedang residents choose to use biogas fuel, (b) trends in 2025, Indonesians choose to use solid fuels, (c) minimum contribution or potential contribution of Indonesian population to achieving energy mix targets primary New and Renewable Energy of 3.80 (three point eight) percent in 2018 and increased to 8.16 (eight point sixteen) percent in 2025 or about 35 (thirty five) percent of the target</w:t>
      </w:r>
      <w:r w:rsidRPr="00535571">
        <w:rPr>
          <w:rFonts w:eastAsia="Times New Roman"/>
          <w:iCs/>
          <w:color w:val="222222"/>
          <w:sz w:val="24"/>
          <w:szCs w:val="24"/>
          <w:lang w:val="en"/>
        </w:rPr>
        <w:t xml:space="preserve"> </w:t>
      </w:r>
      <w:r w:rsidRPr="00BC06CD">
        <w:rPr>
          <w:rFonts w:eastAsia="Times New Roman"/>
          <w:iCs/>
          <w:color w:val="222222"/>
          <w:sz w:val="18"/>
          <w:szCs w:val="18"/>
          <w:lang w:val="en"/>
        </w:rPr>
        <w:t>of the New and Renewable Energy mix. Thus, this research needs to be followed up and encourage the government through the National Energy Council to conduct more comprehensive research in all regions in Indonesia.</w:t>
      </w:r>
    </w:p>
    <w:p w:rsidR="005F35D0" w:rsidRDefault="005F35D0" w:rsidP="00881D1D">
      <w:pPr>
        <w:jc w:val="both"/>
        <w:rPr>
          <w:sz w:val="18"/>
        </w:rPr>
      </w:pPr>
    </w:p>
    <w:p w:rsidR="00BC06CD" w:rsidRPr="00FA6CAC" w:rsidRDefault="005A612D" w:rsidP="0088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i/>
          <w:iCs/>
          <w:color w:val="222222"/>
          <w:sz w:val="16"/>
          <w:szCs w:val="16"/>
          <w:lang w:val="en"/>
        </w:rPr>
      </w:pPr>
      <w:r w:rsidRPr="00FA6CAC">
        <w:rPr>
          <w:b/>
          <w:sz w:val="18"/>
          <w:szCs w:val="18"/>
        </w:rPr>
        <w:t>KEY WORDS:</w:t>
      </w:r>
      <w:r w:rsidR="00BC06CD" w:rsidRPr="00FA6CAC">
        <w:rPr>
          <w:i/>
          <w:sz w:val="16"/>
          <w:szCs w:val="18"/>
        </w:rPr>
        <w:t xml:space="preserve"> </w:t>
      </w:r>
      <w:r w:rsidR="00BC06CD" w:rsidRPr="00FA6CAC">
        <w:rPr>
          <w:rFonts w:eastAsia="Times New Roman"/>
          <w:i/>
          <w:iCs/>
          <w:color w:val="222222"/>
          <w:sz w:val="16"/>
          <w:szCs w:val="16"/>
          <w:lang w:val="en"/>
        </w:rPr>
        <w:t>Primary Energy Mix, Biogas, Biomass, Renewable Energy, Population Behavior.</w:t>
      </w:r>
    </w:p>
    <w:p w:rsidR="00881D1D" w:rsidRDefault="00881D1D" w:rsidP="00881D1D">
      <w:pPr>
        <w:jc w:val="both"/>
        <w:rPr>
          <w:sz w:val="18"/>
        </w:rPr>
      </w:pPr>
    </w:p>
    <w:p w:rsidR="006356D0" w:rsidRPr="00FA6CAC" w:rsidRDefault="006356D0" w:rsidP="00881D1D">
      <w:pPr>
        <w:autoSpaceDE w:val="0"/>
        <w:autoSpaceDN w:val="0"/>
        <w:adjustRightInd w:val="0"/>
        <w:spacing w:line="360" w:lineRule="auto"/>
        <w:jc w:val="both"/>
        <w:rPr>
          <w:b/>
          <w:iCs/>
          <w:color w:val="131313"/>
          <w:sz w:val="18"/>
          <w:szCs w:val="18"/>
        </w:rPr>
      </w:pPr>
      <w:r w:rsidRPr="00FA6CAC">
        <w:rPr>
          <w:b/>
          <w:iCs/>
          <w:color w:val="131313"/>
          <w:sz w:val="18"/>
          <w:szCs w:val="18"/>
        </w:rPr>
        <w:t>NOMENCLATURE</w:t>
      </w:r>
    </w:p>
    <w:p w:rsidR="006356D0" w:rsidRPr="00C43876" w:rsidRDefault="004542A5" w:rsidP="00881D1D">
      <w:pPr>
        <w:autoSpaceDE w:val="0"/>
        <w:autoSpaceDN w:val="0"/>
        <w:adjustRightInd w:val="0"/>
        <w:rPr>
          <w:color w:val="131313"/>
          <w:sz w:val="18"/>
          <w:szCs w:val="18"/>
        </w:rPr>
      </w:pPr>
      <w:r>
        <w:rPr>
          <w:i/>
          <w:iCs/>
          <w:color w:val="131313"/>
          <w:sz w:val="18"/>
          <w:szCs w:val="18"/>
        </w:rPr>
        <w:t>KEN</w:t>
      </w:r>
      <w:r w:rsidR="006356D0" w:rsidRPr="00C43876">
        <w:rPr>
          <w:i/>
          <w:iCs/>
          <w:color w:val="131313"/>
          <w:sz w:val="18"/>
          <w:szCs w:val="18"/>
        </w:rPr>
        <w:tab/>
      </w:r>
      <w:r>
        <w:rPr>
          <w:color w:val="131313"/>
          <w:sz w:val="18"/>
          <w:szCs w:val="18"/>
        </w:rPr>
        <w:t>Kebijakan Energi Nasional</w:t>
      </w:r>
    </w:p>
    <w:p w:rsidR="00B656A3" w:rsidRPr="00C43876" w:rsidRDefault="004542A5" w:rsidP="00881D1D">
      <w:pPr>
        <w:jc w:val="both"/>
        <w:rPr>
          <w:color w:val="000000"/>
          <w:sz w:val="18"/>
          <w:szCs w:val="18"/>
          <w:lang w:eastAsia="ms-MY"/>
        </w:rPr>
      </w:pPr>
      <w:r>
        <w:rPr>
          <w:i/>
          <w:color w:val="000000"/>
          <w:sz w:val="18"/>
          <w:szCs w:val="18"/>
          <w:lang w:eastAsia="ms-MY"/>
        </w:rPr>
        <w:t>RUEN</w:t>
      </w:r>
      <w:r w:rsidR="006356D0" w:rsidRPr="00C43876">
        <w:rPr>
          <w:color w:val="000000"/>
          <w:sz w:val="18"/>
          <w:szCs w:val="18"/>
          <w:lang w:eastAsia="ms-MY"/>
        </w:rPr>
        <w:tab/>
      </w:r>
      <w:r>
        <w:rPr>
          <w:color w:val="000000"/>
          <w:sz w:val="18"/>
          <w:szCs w:val="18"/>
          <w:lang w:eastAsia="ms-MY"/>
        </w:rPr>
        <w:t>R</w:t>
      </w:r>
      <w:r w:rsidR="00F841C1" w:rsidRPr="00C43876">
        <w:rPr>
          <w:color w:val="000000"/>
          <w:sz w:val="18"/>
          <w:szCs w:val="18"/>
          <w:lang w:eastAsia="ms-MY"/>
        </w:rPr>
        <w:t>e</w:t>
      </w:r>
      <w:r>
        <w:rPr>
          <w:color w:val="000000"/>
          <w:sz w:val="18"/>
          <w:szCs w:val="18"/>
          <w:lang w:eastAsia="ms-MY"/>
        </w:rPr>
        <w:t>ncana Umum Energi Nasional</w:t>
      </w:r>
    </w:p>
    <w:p w:rsidR="006356D0" w:rsidRPr="00C43876" w:rsidRDefault="004542A5" w:rsidP="00881D1D">
      <w:pPr>
        <w:jc w:val="both"/>
        <w:rPr>
          <w:color w:val="000000"/>
          <w:sz w:val="18"/>
          <w:szCs w:val="18"/>
          <w:lang w:eastAsia="ms-MY"/>
        </w:rPr>
      </w:pPr>
      <w:r>
        <w:rPr>
          <w:i/>
          <w:color w:val="000000"/>
          <w:sz w:val="18"/>
          <w:szCs w:val="18"/>
          <w:lang w:eastAsia="ms-MY"/>
        </w:rPr>
        <w:t>RUED</w:t>
      </w:r>
      <w:r w:rsidR="00A75819" w:rsidRPr="00C43876">
        <w:rPr>
          <w:color w:val="000000"/>
          <w:sz w:val="18"/>
          <w:szCs w:val="18"/>
          <w:lang w:eastAsia="ms-MY"/>
        </w:rPr>
        <w:tab/>
      </w:r>
      <w:r>
        <w:rPr>
          <w:color w:val="000000"/>
          <w:sz w:val="18"/>
          <w:szCs w:val="18"/>
          <w:lang w:eastAsia="ms-MY"/>
        </w:rPr>
        <w:t>R</w:t>
      </w:r>
      <w:r w:rsidR="00F841C1" w:rsidRPr="00C43876">
        <w:rPr>
          <w:color w:val="000000"/>
          <w:sz w:val="18"/>
          <w:szCs w:val="18"/>
          <w:lang w:eastAsia="ms-MY"/>
        </w:rPr>
        <w:t>e</w:t>
      </w:r>
      <w:r>
        <w:rPr>
          <w:color w:val="000000"/>
          <w:sz w:val="18"/>
          <w:szCs w:val="18"/>
          <w:lang w:eastAsia="ms-MY"/>
        </w:rPr>
        <w:t>ncana Umum Energi Daerah</w:t>
      </w:r>
    </w:p>
    <w:p w:rsidR="00A75819" w:rsidRPr="00BE0A57" w:rsidRDefault="00BE0A57" w:rsidP="00881D1D">
      <w:pPr>
        <w:jc w:val="both"/>
        <w:rPr>
          <w:color w:val="000000"/>
          <w:sz w:val="18"/>
          <w:szCs w:val="18"/>
          <w:lang w:eastAsia="ms-MY"/>
        </w:rPr>
      </w:pPr>
      <w:r w:rsidRPr="00BE0A57">
        <w:rPr>
          <w:i/>
          <w:color w:val="000000"/>
          <w:sz w:val="18"/>
          <w:szCs w:val="18"/>
          <w:lang w:eastAsia="ms-MY"/>
        </w:rPr>
        <w:t>BPPT</w:t>
      </w:r>
      <w:r>
        <w:rPr>
          <w:i/>
          <w:color w:val="000000"/>
          <w:sz w:val="18"/>
          <w:szCs w:val="18"/>
          <w:lang w:eastAsia="ms-MY"/>
        </w:rPr>
        <w:t xml:space="preserve">      </w:t>
      </w:r>
      <w:r w:rsidRPr="00BE0A57">
        <w:rPr>
          <w:color w:val="000000"/>
          <w:sz w:val="18"/>
          <w:szCs w:val="18"/>
          <w:lang w:eastAsia="ms-MY"/>
        </w:rPr>
        <w:t>Badan Pengkajian dan Penerapan Teknologi</w:t>
      </w:r>
    </w:p>
    <w:p w:rsidR="00EE5822" w:rsidRPr="00C43876" w:rsidRDefault="00BE0A57" w:rsidP="00881D1D">
      <w:pPr>
        <w:jc w:val="both"/>
        <w:rPr>
          <w:color w:val="000000"/>
          <w:sz w:val="18"/>
          <w:szCs w:val="18"/>
          <w:lang w:val="en-GB" w:eastAsia="ms-MY"/>
        </w:rPr>
      </w:pPr>
      <w:r>
        <w:rPr>
          <w:i/>
          <w:color w:val="000000"/>
          <w:sz w:val="18"/>
          <w:szCs w:val="18"/>
          <w:lang w:val="en-GB" w:eastAsia="ms-MY"/>
        </w:rPr>
        <w:t>OEI</w:t>
      </w:r>
      <w:r w:rsidR="00EE5822" w:rsidRPr="00C43876">
        <w:rPr>
          <w:color w:val="000000"/>
          <w:sz w:val="18"/>
          <w:szCs w:val="18"/>
          <w:lang w:val="en-GB" w:eastAsia="ms-MY"/>
        </w:rPr>
        <w:tab/>
      </w:r>
      <w:r>
        <w:rPr>
          <w:color w:val="000000"/>
          <w:sz w:val="18"/>
          <w:szCs w:val="18"/>
          <w:lang w:val="en-GB" w:eastAsia="ms-MY"/>
        </w:rPr>
        <w:t>Outlook Energi Indonesia</w:t>
      </w:r>
    </w:p>
    <w:p w:rsidR="00EE5822" w:rsidRPr="00C43876" w:rsidRDefault="00BE0A57" w:rsidP="00881D1D">
      <w:pPr>
        <w:jc w:val="both"/>
        <w:rPr>
          <w:color w:val="000000"/>
          <w:sz w:val="18"/>
          <w:szCs w:val="18"/>
          <w:lang w:val="en-GB" w:eastAsia="ms-MY"/>
        </w:rPr>
      </w:pPr>
      <w:r>
        <w:rPr>
          <w:i/>
          <w:color w:val="000000"/>
          <w:sz w:val="18"/>
          <w:szCs w:val="18"/>
          <w:lang w:val="en-GB" w:eastAsia="ms-MY"/>
        </w:rPr>
        <w:t>NRE</w:t>
      </w:r>
      <w:r w:rsidR="00EE5822" w:rsidRPr="00C43876">
        <w:rPr>
          <w:color w:val="000000"/>
          <w:sz w:val="18"/>
          <w:szCs w:val="18"/>
          <w:lang w:val="en-GB" w:eastAsia="ms-MY"/>
        </w:rPr>
        <w:tab/>
      </w:r>
      <w:r>
        <w:rPr>
          <w:color w:val="000000"/>
          <w:sz w:val="18"/>
          <w:szCs w:val="18"/>
          <w:lang w:val="en-GB" w:eastAsia="ms-MY"/>
        </w:rPr>
        <w:t>New and Renewable Energy</w:t>
      </w:r>
    </w:p>
    <w:p w:rsidR="00EE5822" w:rsidRDefault="00BE0A57" w:rsidP="00881D1D">
      <w:pPr>
        <w:jc w:val="both"/>
        <w:rPr>
          <w:color w:val="000000"/>
          <w:sz w:val="18"/>
          <w:szCs w:val="18"/>
          <w:lang w:val="en-GB" w:eastAsia="ms-MY"/>
        </w:rPr>
      </w:pPr>
      <w:r>
        <w:rPr>
          <w:i/>
          <w:color w:val="000000"/>
          <w:sz w:val="18"/>
          <w:szCs w:val="18"/>
          <w:lang w:val="en-GB" w:eastAsia="ms-MY"/>
        </w:rPr>
        <w:t>RE</w:t>
      </w:r>
      <w:r w:rsidR="00EE5822" w:rsidRPr="00C43876">
        <w:rPr>
          <w:color w:val="000000"/>
          <w:sz w:val="18"/>
          <w:szCs w:val="18"/>
          <w:lang w:val="en-GB" w:eastAsia="ms-MY"/>
        </w:rPr>
        <w:tab/>
      </w:r>
      <w:r>
        <w:rPr>
          <w:color w:val="000000"/>
          <w:sz w:val="18"/>
          <w:szCs w:val="18"/>
          <w:lang w:val="en-GB" w:eastAsia="ms-MY"/>
        </w:rPr>
        <w:t>Renewable Energy</w:t>
      </w:r>
    </w:p>
    <w:p w:rsidR="00D6788D" w:rsidRDefault="00D6788D" w:rsidP="00881D1D">
      <w:pPr>
        <w:jc w:val="both"/>
        <w:rPr>
          <w:color w:val="000000"/>
          <w:sz w:val="18"/>
          <w:szCs w:val="18"/>
          <w:lang w:val="en-GB" w:eastAsia="ms-MY"/>
        </w:rPr>
      </w:pPr>
      <w:r>
        <w:rPr>
          <w:i/>
          <w:color w:val="000000"/>
          <w:sz w:val="18"/>
          <w:szCs w:val="18"/>
          <w:lang w:val="en-GB" w:eastAsia="ms-MY"/>
        </w:rPr>
        <w:t xml:space="preserve">LTSHE    </w:t>
      </w:r>
      <w:r>
        <w:rPr>
          <w:color w:val="000000"/>
          <w:sz w:val="18"/>
          <w:szCs w:val="18"/>
          <w:lang w:val="en-GB" w:eastAsia="ms-MY"/>
        </w:rPr>
        <w:t>Lampu Tenaga Surya Hemat Energi</w:t>
      </w:r>
    </w:p>
    <w:p w:rsidR="00060E3E" w:rsidRPr="008D37F5" w:rsidRDefault="00FA6113" w:rsidP="00881D1D">
      <w:pPr>
        <w:jc w:val="both"/>
        <w:rPr>
          <w:color w:val="000000"/>
          <w:sz w:val="18"/>
          <w:szCs w:val="18"/>
          <w:lang w:val="en-GB" w:eastAsia="ms-MY"/>
        </w:rPr>
      </w:pPr>
      <w:r w:rsidRPr="00FA6113">
        <w:rPr>
          <w:i/>
          <w:color w:val="000000"/>
          <w:sz w:val="18"/>
          <w:szCs w:val="18"/>
          <w:lang w:val="en-GB" w:eastAsia="ms-MY"/>
        </w:rPr>
        <w:t>DME</w:t>
      </w:r>
      <w:r>
        <w:rPr>
          <w:i/>
          <w:color w:val="000000"/>
          <w:sz w:val="18"/>
          <w:szCs w:val="18"/>
          <w:lang w:val="en-GB" w:eastAsia="ms-MY"/>
        </w:rPr>
        <w:t xml:space="preserve">       </w:t>
      </w:r>
      <w:r>
        <w:rPr>
          <w:color w:val="000000"/>
          <w:sz w:val="18"/>
          <w:szCs w:val="18"/>
          <w:lang w:val="en-GB" w:eastAsia="ms-MY"/>
        </w:rPr>
        <w:t>Desa Mandiri Energi</w:t>
      </w:r>
    </w:p>
    <w:p w:rsidR="00060E3E" w:rsidRDefault="00060E3E" w:rsidP="00881D1D">
      <w:pPr>
        <w:jc w:val="both"/>
        <w:rPr>
          <w:color w:val="000000"/>
          <w:sz w:val="18"/>
          <w:szCs w:val="18"/>
          <w:lang w:val="en-GB" w:eastAsia="ms-MY"/>
        </w:rPr>
      </w:pPr>
      <w:r w:rsidRPr="00060E3E">
        <w:rPr>
          <w:i/>
          <w:color w:val="000000"/>
          <w:sz w:val="18"/>
          <w:szCs w:val="18"/>
          <w:lang w:val="en-GB" w:eastAsia="ms-MY"/>
        </w:rPr>
        <w:t>HTIE</w:t>
      </w:r>
      <w:r>
        <w:rPr>
          <w:i/>
          <w:color w:val="000000"/>
          <w:sz w:val="18"/>
          <w:szCs w:val="18"/>
          <w:lang w:val="en-GB" w:eastAsia="ms-MY"/>
        </w:rPr>
        <w:t xml:space="preserve">       </w:t>
      </w:r>
      <w:r>
        <w:rPr>
          <w:color w:val="000000"/>
          <w:sz w:val="18"/>
          <w:szCs w:val="18"/>
          <w:lang w:val="en-GB" w:eastAsia="ms-MY"/>
        </w:rPr>
        <w:t>Hutan Tanaman Industri Energi</w:t>
      </w:r>
    </w:p>
    <w:p w:rsidR="00060E3E" w:rsidRDefault="00060E3E" w:rsidP="00881D1D">
      <w:pPr>
        <w:jc w:val="both"/>
        <w:rPr>
          <w:color w:val="000000"/>
          <w:sz w:val="18"/>
          <w:szCs w:val="18"/>
          <w:lang w:val="en-GB" w:eastAsia="ms-MY"/>
        </w:rPr>
      </w:pPr>
      <w:r w:rsidRPr="00060E3E">
        <w:rPr>
          <w:i/>
          <w:color w:val="000000"/>
          <w:sz w:val="18"/>
          <w:szCs w:val="18"/>
          <w:lang w:val="en-GB" w:eastAsia="ms-MY"/>
        </w:rPr>
        <w:t>ESDM</w:t>
      </w:r>
      <w:r>
        <w:rPr>
          <w:color w:val="000000"/>
          <w:sz w:val="18"/>
          <w:szCs w:val="18"/>
          <w:lang w:val="en-GB" w:eastAsia="ms-MY"/>
        </w:rPr>
        <w:t xml:space="preserve">     Energid an Sumber Daya Mineral</w:t>
      </w:r>
    </w:p>
    <w:p w:rsidR="00060E3E" w:rsidRDefault="00060E3E" w:rsidP="00881D1D">
      <w:pPr>
        <w:jc w:val="both"/>
        <w:rPr>
          <w:color w:val="000000"/>
          <w:sz w:val="18"/>
          <w:szCs w:val="18"/>
          <w:lang w:val="en-GB" w:eastAsia="ms-MY"/>
        </w:rPr>
      </w:pPr>
      <w:r w:rsidRPr="00060E3E">
        <w:rPr>
          <w:i/>
          <w:color w:val="000000"/>
          <w:sz w:val="18"/>
          <w:szCs w:val="18"/>
          <w:lang w:val="en-GB" w:eastAsia="ms-MY"/>
        </w:rPr>
        <w:t xml:space="preserve">PLN </w:t>
      </w:r>
      <w:r>
        <w:rPr>
          <w:color w:val="000000"/>
          <w:sz w:val="18"/>
          <w:szCs w:val="18"/>
          <w:lang w:val="en-GB" w:eastAsia="ms-MY"/>
        </w:rPr>
        <w:t xml:space="preserve">        Perusahaan Listrik Negara</w:t>
      </w:r>
    </w:p>
    <w:p w:rsidR="00060E3E" w:rsidRPr="00060E3E" w:rsidRDefault="00060E3E" w:rsidP="00881D1D">
      <w:pPr>
        <w:jc w:val="both"/>
        <w:rPr>
          <w:color w:val="000000"/>
          <w:sz w:val="18"/>
          <w:szCs w:val="18"/>
          <w:lang w:val="en-GB" w:eastAsia="ms-MY"/>
        </w:rPr>
      </w:pPr>
      <w:r w:rsidRPr="00060E3E">
        <w:rPr>
          <w:i/>
          <w:color w:val="000000"/>
          <w:sz w:val="18"/>
          <w:szCs w:val="18"/>
          <w:lang w:val="en-GB" w:eastAsia="ms-MY"/>
        </w:rPr>
        <w:t>BPS</w:t>
      </w:r>
      <w:r>
        <w:rPr>
          <w:color w:val="000000"/>
          <w:sz w:val="18"/>
          <w:szCs w:val="18"/>
          <w:lang w:val="en-GB" w:eastAsia="ms-MY"/>
        </w:rPr>
        <w:t xml:space="preserve">         Badan Pusat Statistik</w:t>
      </w:r>
    </w:p>
    <w:p w:rsidR="00C43876" w:rsidRDefault="00C43876" w:rsidP="006E7F99">
      <w:pPr>
        <w:jc w:val="both"/>
        <w:rPr>
          <w:color w:val="000000"/>
          <w:sz w:val="18"/>
          <w:szCs w:val="18"/>
          <w:lang w:val="en-GB" w:eastAsia="ms-MY"/>
        </w:rPr>
      </w:pPr>
    </w:p>
    <w:p w:rsidR="005F35D0" w:rsidRPr="00C43876" w:rsidRDefault="005F35D0" w:rsidP="006E7F99">
      <w:pPr>
        <w:jc w:val="both"/>
        <w:rPr>
          <w:color w:val="000000"/>
          <w:sz w:val="18"/>
          <w:szCs w:val="18"/>
          <w:lang w:val="en-GB" w:eastAsia="ms-MY"/>
        </w:rPr>
      </w:pPr>
    </w:p>
    <w:p w:rsidR="005A612D" w:rsidRPr="008D37F5" w:rsidRDefault="004542A5" w:rsidP="008D37F5">
      <w:pPr>
        <w:pStyle w:val="ListParagraph"/>
        <w:numPr>
          <w:ilvl w:val="0"/>
          <w:numId w:val="40"/>
        </w:numPr>
        <w:jc w:val="both"/>
        <w:rPr>
          <w:b/>
          <w:sz w:val="18"/>
          <w:szCs w:val="18"/>
        </w:rPr>
      </w:pPr>
      <w:r w:rsidRPr="008D37F5">
        <w:rPr>
          <w:b/>
          <w:sz w:val="18"/>
          <w:szCs w:val="18"/>
        </w:rPr>
        <w:t>INTRODUCTION</w:t>
      </w:r>
    </w:p>
    <w:p w:rsidR="008D37F5" w:rsidRPr="008D37F5" w:rsidRDefault="008D37F5" w:rsidP="008D37F5">
      <w:pPr>
        <w:pStyle w:val="ListParagraph"/>
        <w:ind w:left="360"/>
        <w:jc w:val="both"/>
        <w:rPr>
          <w:b/>
          <w:sz w:val="16"/>
          <w:szCs w:val="18"/>
        </w:rPr>
      </w:pPr>
    </w:p>
    <w:p w:rsidR="004542A5" w:rsidRPr="006342ED" w:rsidRDefault="004542A5" w:rsidP="00500E1D">
      <w:pPr>
        <w:jc w:val="both"/>
        <w:rPr>
          <w:rStyle w:val="tlid-translation"/>
          <w:sz w:val="18"/>
          <w:szCs w:val="18"/>
          <w:lang w:val="en"/>
        </w:rPr>
      </w:pPr>
      <w:r w:rsidRPr="006342ED">
        <w:rPr>
          <w:rStyle w:val="tlid-translation"/>
          <w:sz w:val="18"/>
          <w:szCs w:val="18"/>
          <w:lang w:val="en"/>
        </w:rPr>
        <w:t>To achieve the goals of the Republic of Indonesia's National Energy Policy (KEN), the President established Presidential Regulation No. 22 of 2017 concerning the National Energy General Plan [1]. This regulation refers to Government Regulation No. 79 of 2014 concerning the National Energy Policy, where the KEN is prepared by the National Energy Board. KEN is a guideline for giving direction on national energy management in order to realize energy independence and national energy security to support sustainable national development. The National Energy General Plan (RUEN) is the central government policy at the macro level regarding national energy management plans. RUEN is a translation and plan for implementing a cross-sectoral KEN. To achieve the target of KEN, a modeling of energy demand (supply-demand) was made until 2050. Policies and strategies to be carried out were determined. RUEN becomes a reference in preparing the Regional Energy General Plan (RUED) on a micro scale. Government Regulation No. 79 of 2014 Article 9 stipulates energy needs in Indonesia until 2025 and 2050 by using the primary energy mix as shown in Table 1.1 below.</w:t>
      </w:r>
    </w:p>
    <w:p w:rsidR="00BB7732" w:rsidRPr="006342ED" w:rsidRDefault="00BB7732" w:rsidP="00500E1D">
      <w:pPr>
        <w:jc w:val="both"/>
        <w:rPr>
          <w:sz w:val="18"/>
          <w:szCs w:val="18"/>
          <w:lang w:val="en"/>
        </w:rPr>
      </w:pPr>
    </w:p>
    <w:p w:rsidR="004542A5" w:rsidRDefault="00500E1D" w:rsidP="004542A5">
      <w:pPr>
        <w:jc w:val="center"/>
        <w:rPr>
          <w:sz w:val="18"/>
          <w:szCs w:val="18"/>
        </w:rPr>
      </w:pPr>
      <w:r>
        <w:rPr>
          <w:sz w:val="18"/>
          <w:szCs w:val="18"/>
        </w:rPr>
        <w:t>Table</w:t>
      </w:r>
      <w:r w:rsidR="004542A5">
        <w:rPr>
          <w:sz w:val="18"/>
          <w:szCs w:val="18"/>
        </w:rPr>
        <w:t xml:space="preserve"> 1.1 </w:t>
      </w:r>
    </w:p>
    <w:p w:rsidR="004542A5" w:rsidRPr="0052383A" w:rsidRDefault="00500E1D" w:rsidP="00875D1C">
      <w:pPr>
        <w:ind w:left="270" w:hanging="270"/>
        <w:jc w:val="center"/>
        <w:rPr>
          <w:sz w:val="18"/>
          <w:szCs w:val="18"/>
        </w:rPr>
      </w:pPr>
      <w:r>
        <w:rPr>
          <w:sz w:val="18"/>
          <w:szCs w:val="18"/>
        </w:rPr>
        <w:t>Primary Energy Mix</w:t>
      </w:r>
      <w:r w:rsidR="004542A5">
        <w:rPr>
          <w:sz w:val="18"/>
          <w:szCs w:val="18"/>
        </w:rPr>
        <w:t xml:space="preserve"> [</w:t>
      </w:r>
      <w:r w:rsidR="00060E3E">
        <w:rPr>
          <w:sz w:val="18"/>
          <w:szCs w:val="18"/>
        </w:rPr>
        <w:t>2</w:t>
      </w:r>
      <w:r w:rsidR="004542A5">
        <w:rPr>
          <w:sz w:val="18"/>
          <w:szCs w:val="18"/>
        </w:rPr>
        <w:t>]</w:t>
      </w:r>
    </w:p>
    <w:tbl>
      <w:tblPr>
        <w:tblW w:w="4152" w:type="pct"/>
        <w:tblInd w:w="440" w:type="dxa"/>
        <w:tblBorders>
          <w:top w:val="single" w:sz="18" w:space="0" w:color="auto"/>
          <w:bottom w:val="single" w:sz="18" w:space="0" w:color="auto"/>
        </w:tblBorders>
        <w:tblLook w:val="0660" w:firstRow="1" w:lastRow="1" w:firstColumn="0" w:lastColumn="0" w:noHBand="1" w:noVBand="1"/>
      </w:tblPr>
      <w:tblGrid>
        <w:gridCol w:w="1712"/>
        <w:gridCol w:w="1026"/>
        <w:gridCol w:w="1133"/>
      </w:tblGrid>
      <w:tr w:rsidR="00BB7732" w:rsidRPr="003E3BEB" w:rsidTr="006342ED">
        <w:tc>
          <w:tcPr>
            <w:tcW w:w="2211" w:type="pct"/>
            <w:tcBorders>
              <w:top w:val="single" w:sz="8" w:space="0" w:color="auto"/>
              <w:left w:val="single" w:sz="8" w:space="0" w:color="auto"/>
              <w:bottom w:val="single" w:sz="8" w:space="0" w:color="auto"/>
              <w:right w:val="single" w:sz="8" w:space="0" w:color="auto"/>
            </w:tcBorders>
            <w:shd w:val="clear" w:color="auto" w:fill="auto"/>
            <w:noWrap/>
          </w:tcPr>
          <w:p w:rsidR="00BB7732" w:rsidRDefault="00BB7732" w:rsidP="00F721A6">
            <w:pPr>
              <w:rPr>
                <w:sz w:val="18"/>
                <w:szCs w:val="18"/>
              </w:rPr>
            </w:pPr>
            <w:r>
              <w:rPr>
                <w:sz w:val="18"/>
                <w:szCs w:val="18"/>
              </w:rPr>
              <w:t>Primary Energy</w:t>
            </w:r>
          </w:p>
        </w:tc>
        <w:tc>
          <w:tcPr>
            <w:tcW w:w="1325" w:type="pct"/>
            <w:tcBorders>
              <w:top w:val="single" w:sz="8" w:space="0" w:color="auto"/>
              <w:left w:val="single" w:sz="8" w:space="0" w:color="auto"/>
              <w:bottom w:val="single" w:sz="8" w:space="0" w:color="auto"/>
              <w:right w:val="single" w:sz="8" w:space="0" w:color="auto"/>
            </w:tcBorders>
            <w:shd w:val="clear" w:color="auto" w:fill="auto"/>
            <w:vAlign w:val="center"/>
          </w:tcPr>
          <w:p w:rsidR="00BB7732" w:rsidRPr="003E3BEB" w:rsidRDefault="00BB7732" w:rsidP="002F4FC3">
            <w:pPr>
              <w:jc w:val="center"/>
              <w:rPr>
                <w:rStyle w:val="SubtleEmphasis"/>
                <w:i w:val="0"/>
                <w:sz w:val="18"/>
                <w:szCs w:val="18"/>
              </w:rPr>
            </w:pPr>
            <w:r>
              <w:rPr>
                <w:rStyle w:val="SubtleEmphasis"/>
                <w:i w:val="0"/>
                <w:sz w:val="18"/>
                <w:szCs w:val="18"/>
              </w:rPr>
              <w:t>Until 2025</w:t>
            </w:r>
          </w:p>
        </w:tc>
        <w:tc>
          <w:tcPr>
            <w:tcW w:w="1464" w:type="pct"/>
            <w:tcBorders>
              <w:top w:val="single" w:sz="8" w:space="0" w:color="auto"/>
              <w:left w:val="single" w:sz="8" w:space="0" w:color="auto"/>
              <w:bottom w:val="single" w:sz="8" w:space="0" w:color="auto"/>
              <w:right w:val="single" w:sz="8" w:space="0" w:color="auto"/>
            </w:tcBorders>
            <w:shd w:val="clear" w:color="auto" w:fill="auto"/>
            <w:vAlign w:val="center"/>
          </w:tcPr>
          <w:p w:rsidR="00BB7732" w:rsidRPr="003E3BEB" w:rsidRDefault="00BB7732" w:rsidP="002F4FC3">
            <w:pPr>
              <w:jc w:val="center"/>
              <w:rPr>
                <w:sz w:val="18"/>
                <w:szCs w:val="18"/>
              </w:rPr>
            </w:pPr>
            <w:r>
              <w:rPr>
                <w:sz w:val="18"/>
                <w:szCs w:val="18"/>
              </w:rPr>
              <w:t>Until 2050</w:t>
            </w:r>
          </w:p>
        </w:tc>
      </w:tr>
      <w:tr w:rsidR="00500E1D" w:rsidRPr="003E3BEB" w:rsidTr="006342ED">
        <w:tc>
          <w:tcPr>
            <w:tcW w:w="2211" w:type="pct"/>
            <w:tcBorders>
              <w:top w:val="single" w:sz="8" w:space="0" w:color="auto"/>
              <w:left w:val="single" w:sz="8" w:space="0" w:color="auto"/>
              <w:bottom w:val="single" w:sz="8" w:space="0" w:color="auto"/>
              <w:right w:val="single" w:sz="8" w:space="0" w:color="auto"/>
            </w:tcBorders>
            <w:shd w:val="clear" w:color="auto" w:fill="auto"/>
            <w:noWrap/>
          </w:tcPr>
          <w:p w:rsidR="004542A5" w:rsidRPr="003E3BEB" w:rsidRDefault="00500E1D" w:rsidP="00F721A6">
            <w:pPr>
              <w:rPr>
                <w:sz w:val="18"/>
                <w:szCs w:val="18"/>
              </w:rPr>
            </w:pPr>
            <w:r>
              <w:rPr>
                <w:sz w:val="18"/>
                <w:szCs w:val="18"/>
              </w:rPr>
              <w:t>New and Renewable</w:t>
            </w:r>
          </w:p>
        </w:tc>
        <w:tc>
          <w:tcPr>
            <w:tcW w:w="1325" w:type="pct"/>
            <w:tcBorders>
              <w:top w:val="single" w:sz="8" w:space="0" w:color="auto"/>
              <w:left w:val="single" w:sz="8" w:space="0" w:color="auto"/>
              <w:bottom w:val="single" w:sz="8" w:space="0" w:color="auto"/>
              <w:right w:val="single" w:sz="8" w:space="0" w:color="auto"/>
            </w:tcBorders>
            <w:shd w:val="clear" w:color="auto" w:fill="auto"/>
            <w:vAlign w:val="center"/>
          </w:tcPr>
          <w:p w:rsidR="004542A5" w:rsidRPr="003E3BEB" w:rsidRDefault="004542A5" w:rsidP="002F4FC3">
            <w:pPr>
              <w:jc w:val="center"/>
              <w:rPr>
                <w:rStyle w:val="SubtleEmphasis"/>
                <w:i w:val="0"/>
                <w:sz w:val="18"/>
                <w:szCs w:val="18"/>
              </w:rPr>
            </w:pPr>
            <w:r w:rsidRPr="003E3BEB">
              <w:rPr>
                <w:rStyle w:val="SubtleEmphasis"/>
                <w:i w:val="0"/>
                <w:sz w:val="18"/>
                <w:szCs w:val="18"/>
              </w:rPr>
              <w:t>23% (*)</w:t>
            </w:r>
          </w:p>
        </w:tc>
        <w:tc>
          <w:tcPr>
            <w:tcW w:w="1464" w:type="pct"/>
            <w:tcBorders>
              <w:top w:val="single" w:sz="8" w:space="0" w:color="auto"/>
              <w:left w:val="single" w:sz="8" w:space="0" w:color="auto"/>
              <w:bottom w:val="single" w:sz="8" w:space="0" w:color="auto"/>
              <w:right w:val="single" w:sz="8" w:space="0" w:color="auto"/>
            </w:tcBorders>
            <w:shd w:val="clear" w:color="auto" w:fill="auto"/>
            <w:vAlign w:val="center"/>
          </w:tcPr>
          <w:p w:rsidR="004542A5" w:rsidRPr="003E3BEB" w:rsidRDefault="004542A5" w:rsidP="002F4FC3">
            <w:pPr>
              <w:jc w:val="center"/>
              <w:rPr>
                <w:sz w:val="18"/>
                <w:szCs w:val="18"/>
              </w:rPr>
            </w:pPr>
            <w:r w:rsidRPr="003E3BEB">
              <w:rPr>
                <w:sz w:val="18"/>
                <w:szCs w:val="18"/>
              </w:rPr>
              <w:t>31% (*)</w:t>
            </w:r>
          </w:p>
        </w:tc>
      </w:tr>
      <w:tr w:rsidR="00500E1D" w:rsidRPr="003E3BEB" w:rsidTr="006342ED">
        <w:tc>
          <w:tcPr>
            <w:tcW w:w="2211" w:type="pct"/>
            <w:tcBorders>
              <w:top w:val="single" w:sz="8" w:space="0" w:color="auto"/>
              <w:left w:val="single" w:sz="8" w:space="0" w:color="auto"/>
              <w:bottom w:val="single" w:sz="8" w:space="0" w:color="auto"/>
              <w:right w:val="single" w:sz="8" w:space="0" w:color="auto"/>
            </w:tcBorders>
            <w:shd w:val="clear" w:color="auto" w:fill="auto"/>
            <w:noWrap/>
          </w:tcPr>
          <w:p w:rsidR="004542A5" w:rsidRPr="003E3BEB" w:rsidRDefault="00500E1D" w:rsidP="00F721A6">
            <w:pPr>
              <w:rPr>
                <w:sz w:val="18"/>
                <w:szCs w:val="18"/>
              </w:rPr>
            </w:pPr>
            <w:r>
              <w:rPr>
                <w:sz w:val="18"/>
                <w:szCs w:val="18"/>
              </w:rPr>
              <w:t>Crude Oil</w:t>
            </w:r>
          </w:p>
        </w:tc>
        <w:tc>
          <w:tcPr>
            <w:tcW w:w="1325" w:type="pct"/>
            <w:tcBorders>
              <w:top w:val="single" w:sz="8" w:space="0" w:color="auto"/>
              <w:left w:val="single" w:sz="8" w:space="0" w:color="auto"/>
              <w:bottom w:val="single" w:sz="8" w:space="0" w:color="auto"/>
              <w:right w:val="single" w:sz="8" w:space="0" w:color="auto"/>
            </w:tcBorders>
            <w:shd w:val="clear" w:color="auto" w:fill="auto"/>
            <w:vAlign w:val="center"/>
          </w:tcPr>
          <w:p w:rsidR="004542A5" w:rsidRPr="003E3BEB" w:rsidRDefault="004542A5" w:rsidP="002F4FC3">
            <w:pPr>
              <w:pStyle w:val="DecimalAligned"/>
              <w:spacing w:after="0"/>
              <w:jc w:val="center"/>
              <w:rPr>
                <w:rFonts w:ascii="Times New Roman" w:hAnsi="Times New Roman"/>
                <w:sz w:val="18"/>
                <w:szCs w:val="18"/>
              </w:rPr>
            </w:pPr>
            <w:r w:rsidRPr="003E3BEB">
              <w:rPr>
                <w:rFonts w:ascii="Times New Roman" w:hAnsi="Times New Roman"/>
                <w:sz w:val="18"/>
                <w:szCs w:val="18"/>
              </w:rPr>
              <w:t>25%</w:t>
            </w:r>
          </w:p>
        </w:tc>
        <w:tc>
          <w:tcPr>
            <w:tcW w:w="1464" w:type="pct"/>
            <w:tcBorders>
              <w:top w:val="single" w:sz="8" w:space="0" w:color="auto"/>
              <w:left w:val="single" w:sz="8" w:space="0" w:color="auto"/>
              <w:bottom w:val="single" w:sz="8" w:space="0" w:color="auto"/>
              <w:right w:val="single" w:sz="8" w:space="0" w:color="auto"/>
            </w:tcBorders>
            <w:shd w:val="clear" w:color="auto" w:fill="auto"/>
            <w:vAlign w:val="center"/>
          </w:tcPr>
          <w:p w:rsidR="004542A5" w:rsidRPr="003E3BEB" w:rsidRDefault="004542A5" w:rsidP="002F4FC3">
            <w:pPr>
              <w:pStyle w:val="DecimalAligned"/>
              <w:spacing w:after="0"/>
              <w:jc w:val="center"/>
              <w:rPr>
                <w:rFonts w:ascii="Times New Roman" w:hAnsi="Times New Roman"/>
                <w:sz w:val="18"/>
                <w:szCs w:val="18"/>
              </w:rPr>
            </w:pPr>
            <w:r w:rsidRPr="003E3BEB">
              <w:rPr>
                <w:rFonts w:ascii="Times New Roman" w:hAnsi="Times New Roman"/>
                <w:sz w:val="18"/>
                <w:szCs w:val="18"/>
              </w:rPr>
              <w:t>20%</w:t>
            </w:r>
          </w:p>
        </w:tc>
      </w:tr>
      <w:tr w:rsidR="00500E1D" w:rsidRPr="003E3BEB" w:rsidTr="006342ED">
        <w:trPr>
          <w:trHeight w:val="60"/>
        </w:trPr>
        <w:tc>
          <w:tcPr>
            <w:tcW w:w="2211" w:type="pct"/>
            <w:tcBorders>
              <w:top w:val="single" w:sz="8" w:space="0" w:color="auto"/>
              <w:left w:val="single" w:sz="8" w:space="0" w:color="auto"/>
              <w:bottom w:val="single" w:sz="8" w:space="0" w:color="auto"/>
              <w:right w:val="single" w:sz="8" w:space="0" w:color="auto"/>
            </w:tcBorders>
            <w:shd w:val="clear" w:color="auto" w:fill="auto"/>
            <w:noWrap/>
          </w:tcPr>
          <w:p w:rsidR="004542A5" w:rsidRPr="003E3BEB" w:rsidRDefault="00500E1D" w:rsidP="00F721A6">
            <w:pPr>
              <w:rPr>
                <w:sz w:val="18"/>
                <w:szCs w:val="18"/>
              </w:rPr>
            </w:pPr>
            <w:r>
              <w:rPr>
                <w:sz w:val="18"/>
                <w:szCs w:val="18"/>
              </w:rPr>
              <w:t>Coal</w:t>
            </w:r>
          </w:p>
        </w:tc>
        <w:tc>
          <w:tcPr>
            <w:tcW w:w="1325" w:type="pct"/>
            <w:tcBorders>
              <w:top w:val="single" w:sz="8" w:space="0" w:color="auto"/>
              <w:left w:val="single" w:sz="8" w:space="0" w:color="auto"/>
              <w:bottom w:val="single" w:sz="8" w:space="0" w:color="auto"/>
              <w:right w:val="single" w:sz="8" w:space="0" w:color="auto"/>
            </w:tcBorders>
            <w:shd w:val="clear" w:color="auto" w:fill="auto"/>
            <w:vAlign w:val="center"/>
          </w:tcPr>
          <w:p w:rsidR="004542A5" w:rsidRPr="003E3BEB" w:rsidRDefault="004542A5" w:rsidP="002F4FC3">
            <w:pPr>
              <w:pStyle w:val="DecimalAligned"/>
              <w:spacing w:after="0"/>
              <w:jc w:val="center"/>
              <w:rPr>
                <w:rFonts w:ascii="Times New Roman" w:hAnsi="Times New Roman"/>
                <w:sz w:val="18"/>
                <w:szCs w:val="18"/>
              </w:rPr>
            </w:pPr>
            <w:r w:rsidRPr="003E3BEB">
              <w:rPr>
                <w:rFonts w:ascii="Times New Roman" w:hAnsi="Times New Roman"/>
                <w:sz w:val="18"/>
                <w:szCs w:val="18"/>
              </w:rPr>
              <w:t>30%</w:t>
            </w:r>
          </w:p>
        </w:tc>
        <w:tc>
          <w:tcPr>
            <w:tcW w:w="1464" w:type="pct"/>
            <w:tcBorders>
              <w:top w:val="single" w:sz="8" w:space="0" w:color="auto"/>
              <w:left w:val="single" w:sz="8" w:space="0" w:color="auto"/>
              <w:bottom w:val="single" w:sz="8" w:space="0" w:color="auto"/>
              <w:right w:val="single" w:sz="8" w:space="0" w:color="auto"/>
            </w:tcBorders>
            <w:shd w:val="clear" w:color="auto" w:fill="auto"/>
            <w:vAlign w:val="center"/>
          </w:tcPr>
          <w:p w:rsidR="004542A5" w:rsidRPr="003E3BEB" w:rsidRDefault="004542A5" w:rsidP="002F4FC3">
            <w:pPr>
              <w:pStyle w:val="DecimalAligned"/>
              <w:spacing w:after="0"/>
              <w:jc w:val="center"/>
              <w:rPr>
                <w:rFonts w:ascii="Times New Roman" w:hAnsi="Times New Roman"/>
                <w:sz w:val="18"/>
                <w:szCs w:val="18"/>
              </w:rPr>
            </w:pPr>
            <w:r w:rsidRPr="003E3BEB">
              <w:rPr>
                <w:rFonts w:ascii="Times New Roman" w:hAnsi="Times New Roman"/>
                <w:sz w:val="18"/>
                <w:szCs w:val="18"/>
              </w:rPr>
              <w:t>25%</w:t>
            </w:r>
          </w:p>
        </w:tc>
      </w:tr>
      <w:tr w:rsidR="00500E1D" w:rsidRPr="003E3BEB" w:rsidTr="006342ED">
        <w:tc>
          <w:tcPr>
            <w:tcW w:w="2211" w:type="pct"/>
            <w:tcBorders>
              <w:top w:val="single" w:sz="8" w:space="0" w:color="auto"/>
              <w:left w:val="single" w:sz="8" w:space="0" w:color="auto"/>
              <w:bottom w:val="single" w:sz="8" w:space="0" w:color="auto"/>
              <w:right w:val="single" w:sz="8" w:space="0" w:color="auto"/>
            </w:tcBorders>
            <w:shd w:val="clear" w:color="auto" w:fill="auto"/>
            <w:noWrap/>
          </w:tcPr>
          <w:p w:rsidR="004542A5" w:rsidRPr="003E3BEB" w:rsidRDefault="00500E1D" w:rsidP="00F721A6">
            <w:pPr>
              <w:rPr>
                <w:sz w:val="18"/>
                <w:szCs w:val="18"/>
              </w:rPr>
            </w:pPr>
            <w:r>
              <w:rPr>
                <w:sz w:val="18"/>
                <w:szCs w:val="18"/>
              </w:rPr>
              <w:t>Natural Gas</w:t>
            </w:r>
          </w:p>
        </w:tc>
        <w:tc>
          <w:tcPr>
            <w:tcW w:w="1325" w:type="pct"/>
            <w:tcBorders>
              <w:top w:val="single" w:sz="8" w:space="0" w:color="auto"/>
              <w:left w:val="single" w:sz="8" w:space="0" w:color="auto"/>
              <w:bottom w:val="single" w:sz="8" w:space="0" w:color="auto"/>
              <w:right w:val="single" w:sz="8" w:space="0" w:color="auto"/>
            </w:tcBorders>
            <w:shd w:val="clear" w:color="auto" w:fill="auto"/>
            <w:vAlign w:val="center"/>
          </w:tcPr>
          <w:p w:rsidR="004542A5" w:rsidRPr="003E3BEB" w:rsidRDefault="004542A5" w:rsidP="002F4FC3">
            <w:pPr>
              <w:pStyle w:val="DecimalAligned"/>
              <w:spacing w:after="0"/>
              <w:jc w:val="center"/>
              <w:rPr>
                <w:rFonts w:ascii="Times New Roman" w:hAnsi="Times New Roman"/>
                <w:sz w:val="18"/>
                <w:szCs w:val="18"/>
              </w:rPr>
            </w:pPr>
            <w:r w:rsidRPr="003E3BEB">
              <w:rPr>
                <w:rFonts w:ascii="Times New Roman" w:hAnsi="Times New Roman"/>
                <w:sz w:val="18"/>
                <w:szCs w:val="18"/>
              </w:rPr>
              <w:t>22%</w:t>
            </w:r>
          </w:p>
        </w:tc>
        <w:tc>
          <w:tcPr>
            <w:tcW w:w="1464" w:type="pct"/>
            <w:tcBorders>
              <w:top w:val="single" w:sz="8" w:space="0" w:color="auto"/>
              <w:left w:val="single" w:sz="8" w:space="0" w:color="auto"/>
              <w:bottom w:val="single" w:sz="8" w:space="0" w:color="auto"/>
              <w:right w:val="single" w:sz="8" w:space="0" w:color="auto"/>
            </w:tcBorders>
            <w:shd w:val="clear" w:color="auto" w:fill="auto"/>
            <w:vAlign w:val="center"/>
          </w:tcPr>
          <w:p w:rsidR="004542A5" w:rsidRPr="003E3BEB" w:rsidRDefault="004542A5" w:rsidP="002F4FC3">
            <w:pPr>
              <w:pStyle w:val="DecimalAligned"/>
              <w:spacing w:after="0"/>
              <w:jc w:val="center"/>
              <w:rPr>
                <w:rFonts w:ascii="Times New Roman" w:hAnsi="Times New Roman"/>
                <w:sz w:val="18"/>
                <w:szCs w:val="18"/>
              </w:rPr>
            </w:pPr>
            <w:r w:rsidRPr="003E3BEB">
              <w:rPr>
                <w:rFonts w:ascii="Times New Roman" w:hAnsi="Times New Roman"/>
                <w:sz w:val="18"/>
                <w:szCs w:val="18"/>
              </w:rPr>
              <w:t>24%</w:t>
            </w:r>
          </w:p>
        </w:tc>
      </w:tr>
      <w:tr w:rsidR="00500E1D" w:rsidRPr="003E3BEB" w:rsidTr="006342ED">
        <w:tc>
          <w:tcPr>
            <w:tcW w:w="2211" w:type="pct"/>
            <w:tcBorders>
              <w:top w:val="single" w:sz="8" w:space="0" w:color="auto"/>
              <w:left w:val="single" w:sz="8" w:space="0" w:color="auto"/>
              <w:bottom w:val="single" w:sz="8" w:space="0" w:color="auto"/>
              <w:right w:val="single" w:sz="8" w:space="0" w:color="auto"/>
            </w:tcBorders>
            <w:shd w:val="clear" w:color="auto" w:fill="FFFFFF"/>
            <w:noWrap/>
          </w:tcPr>
          <w:p w:rsidR="004542A5" w:rsidRPr="003E3BEB" w:rsidRDefault="004542A5" w:rsidP="00F721A6">
            <w:pPr>
              <w:rPr>
                <w:sz w:val="18"/>
                <w:szCs w:val="18"/>
              </w:rPr>
            </w:pPr>
            <w:r w:rsidRPr="003E3BEB">
              <w:rPr>
                <w:sz w:val="18"/>
                <w:szCs w:val="18"/>
              </w:rPr>
              <w:t>Total</w:t>
            </w:r>
          </w:p>
        </w:tc>
        <w:tc>
          <w:tcPr>
            <w:tcW w:w="1325" w:type="pct"/>
            <w:tcBorders>
              <w:top w:val="single" w:sz="8" w:space="0" w:color="auto"/>
              <w:left w:val="single" w:sz="8" w:space="0" w:color="auto"/>
              <w:bottom w:val="single" w:sz="8" w:space="0" w:color="auto"/>
              <w:right w:val="single" w:sz="8" w:space="0" w:color="auto"/>
            </w:tcBorders>
            <w:shd w:val="clear" w:color="auto" w:fill="FFFFFF"/>
            <w:vAlign w:val="center"/>
          </w:tcPr>
          <w:p w:rsidR="004542A5" w:rsidRPr="003E3BEB" w:rsidRDefault="004542A5" w:rsidP="002F4FC3">
            <w:pPr>
              <w:pStyle w:val="DecimalAligned"/>
              <w:spacing w:after="0"/>
              <w:jc w:val="center"/>
              <w:rPr>
                <w:rFonts w:ascii="Times New Roman" w:hAnsi="Times New Roman"/>
                <w:sz w:val="18"/>
                <w:szCs w:val="18"/>
              </w:rPr>
            </w:pPr>
            <w:r w:rsidRPr="003E3BEB">
              <w:rPr>
                <w:rFonts w:ascii="Times New Roman" w:hAnsi="Times New Roman"/>
                <w:sz w:val="18"/>
                <w:szCs w:val="18"/>
              </w:rPr>
              <w:t>100%</w:t>
            </w:r>
          </w:p>
        </w:tc>
        <w:tc>
          <w:tcPr>
            <w:tcW w:w="1464" w:type="pct"/>
            <w:tcBorders>
              <w:top w:val="single" w:sz="8" w:space="0" w:color="auto"/>
              <w:left w:val="single" w:sz="8" w:space="0" w:color="auto"/>
              <w:bottom w:val="single" w:sz="8" w:space="0" w:color="auto"/>
              <w:right w:val="single" w:sz="8" w:space="0" w:color="auto"/>
            </w:tcBorders>
            <w:shd w:val="clear" w:color="auto" w:fill="FFFFFF"/>
            <w:vAlign w:val="center"/>
          </w:tcPr>
          <w:p w:rsidR="004542A5" w:rsidRPr="003E3BEB" w:rsidRDefault="004542A5" w:rsidP="002F4FC3">
            <w:pPr>
              <w:pStyle w:val="DecimalAligned"/>
              <w:spacing w:after="0"/>
              <w:jc w:val="center"/>
              <w:rPr>
                <w:rFonts w:ascii="Times New Roman" w:hAnsi="Times New Roman"/>
                <w:sz w:val="18"/>
                <w:szCs w:val="18"/>
              </w:rPr>
            </w:pPr>
            <w:r w:rsidRPr="003E3BEB">
              <w:rPr>
                <w:rFonts w:ascii="Times New Roman" w:hAnsi="Times New Roman"/>
                <w:sz w:val="18"/>
                <w:szCs w:val="18"/>
              </w:rPr>
              <w:t>100%</w:t>
            </w:r>
          </w:p>
        </w:tc>
      </w:tr>
    </w:tbl>
    <w:p w:rsidR="004542A5" w:rsidRDefault="00500E1D" w:rsidP="00500E1D">
      <w:pPr>
        <w:pStyle w:val="FootnoteText"/>
        <w:ind w:left="450"/>
        <w:rPr>
          <w:sz w:val="18"/>
          <w:szCs w:val="18"/>
        </w:rPr>
      </w:pPr>
      <w:r>
        <w:rPr>
          <w:rStyle w:val="SubtleEmphasis"/>
          <w:sz w:val="18"/>
          <w:szCs w:val="18"/>
        </w:rPr>
        <w:t xml:space="preserve">              Note</w:t>
      </w:r>
      <w:r w:rsidR="004542A5" w:rsidRPr="00BA5C2C">
        <w:rPr>
          <w:rStyle w:val="SubtleEmphasis"/>
          <w:sz w:val="18"/>
          <w:szCs w:val="18"/>
        </w:rPr>
        <w:t>:</w:t>
      </w:r>
      <w:r w:rsidR="004542A5" w:rsidRPr="00BA5C2C">
        <w:rPr>
          <w:sz w:val="18"/>
          <w:szCs w:val="18"/>
        </w:rPr>
        <w:t xml:space="preserve"> </w:t>
      </w:r>
      <w:r>
        <w:rPr>
          <w:sz w:val="18"/>
          <w:szCs w:val="18"/>
        </w:rPr>
        <w:t>(*) As long as the economy is met.</w:t>
      </w:r>
    </w:p>
    <w:p w:rsidR="00BB7732" w:rsidRDefault="00BB7732" w:rsidP="00500E1D">
      <w:pPr>
        <w:pStyle w:val="FootnoteText"/>
        <w:ind w:left="450"/>
        <w:rPr>
          <w:sz w:val="18"/>
          <w:szCs w:val="18"/>
        </w:rPr>
      </w:pPr>
    </w:p>
    <w:p w:rsidR="00D33E9E" w:rsidRPr="006342ED" w:rsidRDefault="00500E1D" w:rsidP="00D33E9E">
      <w:pPr>
        <w:widowControl/>
        <w:jc w:val="both"/>
        <w:rPr>
          <w:rFonts w:eastAsia="Times New Roman"/>
          <w:snapToGrid/>
          <w:sz w:val="18"/>
          <w:szCs w:val="18"/>
          <w:lang w:val="en"/>
        </w:rPr>
      </w:pPr>
      <w:r w:rsidRPr="006342ED">
        <w:rPr>
          <w:rFonts w:eastAsia="Times New Roman"/>
          <w:snapToGrid/>
          <w:sz w:val="18"/>
          <w:szCs w:val="18"/>
          <w:lang w:val="en"/>
        </w:rPr>
        <w:lastRenderedPageBreak/>
        <w:t>In line with the goal of creating energy independence and energy security, the role of renewable energy is enhanced even greater. The government supports its fulfillment by using New and Renewable Energy in the implementation of primary energy mix in Indonesia [1,</w:t>
      </w:r>
      <w:r w:rsidR="006342ED" w:rsidRPr="006342ED">
        <w:rPr>
          <w:rFonts w:eastAsia="Times New Roman"/>
          <w:snapToGrid/>
          <w:sz w:val="18"/>
          <w:szCs w:val="18"/>
          <w:lang w:val="en"/>
        </w:rPr>
        <w:t>3</w:t>
      </w:r>
      <w:r w:rsidRPr="006342ED">
        <w:rPr>
          <w:rFonts w:eastAsia="Times New Roman"/>
          <w:snapToGrid/>
          <w:sz w:val="18"/>
          <w:szCs w:val="18"/>
          <w:lang w:val="en"/>
        </w:rPr>
        <w:t xml:space="preserve">]. The main concern in the development of electricity infrastructure projects is the use of renewable energy. In its journey, since the enactment of Government Regulation Number 79 Year 2014 with 2015, 2016 and 2017 RUEN, </w:t>
      </w:r>
      <w:r w:rsidR="006342ED" w:rsidRPr="006342ED">
        <w:rPr>
          <w:rFonts w:eastAsia="Times New Roman"/>
          <w:snapToGrid/>
          <w:sz w:val="18"/>
          <w:szCs w:val="18"/>
          <w:lang w:val="en"/>
        </w:rPr>
        <w:t>Agency for the Assessment and Application of Technology (</w:t>
      </w:r>
      <w:r w:rsidRPr="006342ED">
        <w:rPr>
          <w:rFonts w:eastAsia="Times New Roman"/>
          <w:snapToGrid/>
          <w:sz w:val="18"/>
          <w:szCs w:val="18"/>
          <w:lang w:val="en"/>
        </w:rPr>
        <w:t>BPPT</w:t>
      </w:r>
      <w:r w:rsidR="006342ED" w:rsidRPr="006342ED">
        <w:rPr>
          <w:rFonts w:eastAsia="Times New Roman"/>
          <w:snapToGrid/>
          <w:sz w:val="18"/>
          <w:szCs w:val="18"/>
          <w:lang w:val="en"/>
        </w:rPr>
        <w:t>)</w:t>
      </w:r>
      <w:r w:rsidRPr="006342ED">
        <w:rPr>
          <w:rFonts w:eastAsia="Times New Roman"/>
          <w:snapToGrid/>
          <w:sz w:val="18"/>
          <w:szCs w:val="18"/>
          <w:lang w:val="en"/>
        </w:rPr>
        <w:t>'s review in OEI 2018 states that the target of using renewable energy planned by the government will be difficult to achieve [</w:t>
      </w:r>
      <w:r w:rsidR="006342ED" w:rsidRPr="006342ED">
        <w:rPr>
          <w:rFonts w:eastAsia="Times New Roman"/>
          <w:snapToGrid/>
          <w:sz w:val="18"/>
          <w:szCs w:val="18"/>
          <w:lang w:val="en"/>
        </w:rPr>
        <w:t>1,</w:t>
      </w:r>
      <w:r w:rsidR="00943675">
        <w:rPr>
          <w:rFonts w:eastAsia="Times New Roman"/>
          <w:snapToGrid/>
          <w:sz w:val="18"/>
          <w:szCs w:val="18"/>
          <w:lang w:val="en"/>
        </w:rPr>
        <w:t>4</w:t>
      </w:r>
      <w:r w:rsidR="006342ED" w:rsidRPr="006342ED">
        <w:rPr>
          <w:rFonts w:eastAsia="Times New Roman"/>
          <w:snapToGrid/>
          <w:sz w:val="18"/>
          <w:szCs w:val="18"/>
          <w:lang w:val="en"/>
        </w:rPr>
        <w:t>,</w:t>
      </w:r>
      <w:r w:rsidRPr="006342ED">
        <w:rPr>
          <w:rFonts w:eastAsia="Times New Roman"/>
          <w:snapToGrid/>
          <w:sz w:val="18"/>
          <w:szCs w:val="18"/>
          <w:lang w:val="en"/>
        </w:rPr>
        <w:t>,</w:t>
      </w:r>
      <w:r w:rsidR="00943675">
        <w:rPr>
          <w:rFonts w:eastAsia="Times New Roman"/>
          <w:snapToGrid/>
          <w:sz w:val="18"/>
          <w:szCs w:val="18"/>
          <w:lang w:val="en"/>
        </w:rPr>
        <w:t>5</w:t>
      </w:r>
      <w:r w:rsidRPr="006342ED">
        <w:rPr>
          <w:rFonts w:eastAsia="Times New Roman"/>
          <w:snapToGrid/>
          <w:sz w:val="18"/>
          <w:szCs w:val="18"/>
          <w:lang w:val="en"/>
        </w:rPr>
        <w:t>,</w:t>
      </w:r>
      <w:r w:rsidR="00943675">
        <w:rPr>
          <w:rFonts w:eastAsia="Times New Roman"/>
          <w:snapToGrid/>
          <w:sz w:val="18"/>
          <w:szCs w:val="18"/>
          <w:lang w:val="en"/>
        </w:rPr>
        <w:t>6</w:t>
      </w:r>
      <w:r w:rsidR="008D37F5">
        <w:rPr>
          <w:rFonts w:eastAsia="Times New Roman"/>
          <w:snapToGrid/>
          <w:sz w:val="18"/>
          <w:szCs w:val="18"/>
          <w:lang w:val="en"/>
        </w:rPr>
        <w:t xml:space="preserve">]. </w:t>
      </w:r>
      <w:r w:rsidRPr="006342ED">
        <w:rPr>
          <w:rFonts w:eastAsia="Times New Roman"/>
          <w:snapToGrid/>
          <w:sz w:val="18"/>
          <w:szCs w:val="18"/>
          <w:lang w:val="en"/>
        </w:rPr>
        <w:t xml:space="preserve">Table 1.2 shows the targets, achievements, projections of </w:t>
      </w:r>
      <w:r w:rsidR="006342ED" w:rsidRPr="006342ED">
        <w:rPr>
          <w:rFonts w:eastAsia="Times New Roman"/>
          <w:snapToGrid/>
          <w:sz w:val="18"/>
          <w:szCs w:val="18"/>
          <w:lang w:val="en"/>
        </w:rPr>
        <w:t>NR</w:t>
      </w:r>
      <w:r w:rsidRPr="006342ED">
        <w:rPr>
          <w:rFonts w:eastAsia="Times New Roman"/>
          <w:snapToGrid/>
          <w:sz w:val="18"/>
          <w:szCs w:val="18"/>
          <w:lang w:val="en"/>
        </w:rPr>
        <w:t>E achievement and BPPT study results.</w:t>
      </w:r>
    </w:p>
    <w:p w:rsidR="00BB7732" w:rsidRPr="006342ED" w:rsidRDefault="00BB7732" w:rsidP="00D33E9E">
      <w:pPr>
        <w:widowControl/>
        <w:jc w:val="both"/>
        <w:rPr>
          <w:rFonts w:eastAsia="Times New Roman"/>
          <w:snapToGrid/>
          <w:sz w:val="18"/>
          <w:szCs w:val="18"/>
          <w:lang w:val="en"/>
        </w:rPr>
      </w:pPr>
    </w:p>
    <w:p w:rsidR="00D33E9E" w:rsidRPr="006342ED" w:rsidRDefault="00D33E9E" w:rsidP="00D33E9E">
      <w:pPr>
        <w:jc w:val="center"/>
        <w:rPr>
          <w:sz w:val="18"/>
          <w:szCs w:val="18"/>
        </w:rPr>
      </w:pPr>
      <w:r w:rsidRPr="006342ED">
        <w:rPr>
          <w:sz w:val="18"/>
          <w:szCs w:val="18"/>
        </w:rPr>
        <w:t>Table 1.2</w:t>
      </w:r>
    </w:p>
    <w:p w:rsidR="00D33E9E" w:rsidRPr="006342ED" w:rsidRDefault="00D33E9E" w:rsidP="00D33E9E">
      <w:pPr>
        <w:jc w:val="center"/>
        <w:rPr>
          <w:sz w:val="18"/>
          <w:szCs w:val="18"/>
        </w:rPr>
      </w:pPr>
      <w:r w:rsidRPr="006342ED">
        <w:rPr>
          <w:sz w:val="18"/>
          <w:szCs w:val="18"/>
        </w:rPr>
        <w:t xml:space="preserve">Achievement Target and Projection of </w:t>
      </w:r>
      <w:r w:rsidR="006342ED" w:rsidRPr="006342ED">
        <w:rPr>
          <w:sz w:val="18"/>
          <w:szCs w:val="18"/>
        </w:rPr>
        <w:t>N</w:t>
      </w:r>
      <w:r w:rsidRPr="006342ED">
        <w:rPr>
          <w:sz w:val="18"/>
          <w:szCs w:val="18"/>
        </w:rPr>
        <w:t>RE Achievement</w:t>
      </w: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60" w:firstRow="1" w:lastRow="1" w:firstColumn="0" w:lastColumn="0" w:noHBand="1" w:noVBand="1"/>
      </w:tblPr>
      <w:tblGrid>
        <w:gridCol w:w="598"/>
        <w:gridCol w:w="708"/>
        <w:gridCol w:w="771"/>
        <w:gridCol w:w="821"/>
        <w:gridCol w:w="899"/>
        <w:gridCol w:w="789"/>
      </w:tblGrid>
      <w:tr w:rsidR="00875D1C" w:rsidRPr="00EE74A8" w:rsidTr="008D37F5">
        <w:tc>
          <w:tcPr>
            <w:tcW w:w="651" w:type="pct"/>
            <w:shd w:val="clear" w:color="auto" w:fill="auto"/>
            <w:noWrap/>
            <w:vAlign w:val="center"/>
          </w:tcPr>
          <w:p w:rsidR="00875D1C" w:rsidRPr="00EE74A8" w:rsidRDefault="00875D1C" w:rsidP="006342ED">
            <w:pPr>
              <w:jc w:val="center"/>
              <w:rPr>
                <w:sz w:val="16"/>
                <w:szCs w:val="16"/>
              </w:rPr>
            </w:pPr>
            <w:r w:rsidRPr="00EE74A8">
              <w:rPr>
                <w:sz w:val="16"/>
                <w:szCs w:val="16"/>
              </w:rPr>
              <w:t>Year</w:t>
            </w:r>
          </w:p>
        </w:tc>
        <w:tc>
          <w:tcPr>
            <w:tcW w:w="772" w:type="pct"/>
            <w:shd w:val="clear" w:color="auto" w:fill="auto"/>
            <w:vAlign w:val="center"/>
          </w:tcPr>
          <w:p w:rsidR="00875D1C" w:rsidRPr="00EE74A8" w:rsidRDefault="00875D1C" w:rsidP="00F721A6">
            <w:pPr>
              <w:jc w:val="center"/>
              <w:rPr>
                <w:rStyle w:val="SubtleEmphasis"/>
                <w:i w:val="0"/>
                <w:sz w:val="16"/>
                <w:szCs w:val="16"/>
              </w:rPr>
            </w:pPr>
            <w:r w:rsidRPr="00EE74A8">
              <w:rPr>
                <w:rStyle w:val="SubtleEmphasis"/>
                <w:i w:val="0"/>
                <w:sz w:val="16"/>
                <w:szCs w:val="16"/>
              </w:rPr>
              <w:t>Target</w:t>
            </w:r>
          </w:p>
          <w:p w:rsidR="00875D1C" w:rsidRPr="00EE74A8" w:rsidRDefault="00875D1C" w:rsidP="00F721A6">
            <w:pPr>
              <w:jc w:val="center"/>
              <w:rPr>
                <w:rStyle w:val="SubtleEmphasis"/>
                <w:i w:val="0"/>
                <w:sz w:val="16"/>
                <w:szCs w:val="16"/>
              </w:rPr>
            </w:pPr>
            <w:r w:rsidRPr="00EE74A8">
              <w:rPr>
                <w:rStyle w:val="SubtleEmphasis"/>
                <w:i w:val="0"/>
                <w:sz w:val="16"/>
                <w:szCs w:val="16"/>
              </w:rPr>
              <w:t>[1]</w:t>
            </w:r>
          </w:p>
        </w:tc>
        <w:tc>
          <w:tcPr>
            <w:tcW w:w="841" w:type="pct"/>
            <w:shd w:val="clear" w:color="auto" w:fill="auto"/>
            <w:vAlign w:val="center"/>
          </w:tcPr>
          <w:p w:rsidR="00875D1C" w:rsidRPr="00EE74A8" w:rsidRDefault="00875D1C" w:rsidP="00F721A6">
            <w:pPr>
              <w:jc w:val="center"/>
              <w:rPr>
                <w:sz w:val="16"/>
                <w:szCs w:val="16"/>
              </w:rPr>
            </w:pPr>
            <w:r w:rsidRPr="00EE74A8">
              <w:rPr>
                <w:sz w:val="16"/>
                <w:szCs w:val="16"/>
              </w:rPr>
              <w:t>Achievement &amp; Projection (*) [12, 13]</w:t>
            </w:r>
          </w:p>
        </w:tc>
        <w:tc>
          <w:tcPr>
            <w:tcW w:w="895" w:type="pct"/>
            <w:shd w:val="clear" w:color="auto" w:fill="auto"/>
            <w:vAlign w:val="center"/>
          </w:tcPr>
          <w:p w:rsidR="00875D1C" w:rsidRPr="00EE74A8" w:rsidRDefault="00875D1C" w:rsidP="00F721A6">
            <w:pPr>
              <w:jc w:val="center"/>
              <w:rPr>
                <w:sz w:val="16"/>
                <w:szCs w:val="16"/>
              </w:rPr>
            </w:pPr>
            <w:r w:rsidRPr="00EE74A8">
              <w:rPr>
                <w:sz w:val="16"/>
                <w:szCs w:val="16"/>
              </w:rPr>
              <w:t>Achievement</w:t>
            </w:r>
          </w:p>
          <w:p w:rsidR="00875D1C" w:rsidRPr="00EE74A8" w:rsidRDefault="00875D1C" w:rsidP="00F721A6">
            <w:pPr>
              <w:jc w:val="center"/>
              <w:rPr>
                <w:sz w:val="16"/>
                <w:szCs w:val="16"/>
              </w:rPr>
            </w:pPr>
            <w:r w:rsidRPr="00EE74A8">
              <w:rPr>
                <w:sz w:val="16"/>
                <w:szCs w:val="16"/>
              </w:rPr>
              <w:t>[14]</w:t>
            </w:r>
          </w:p>
        </w:tc>
        <w:tc>
          <w:tcPr>
            <w:tcW w:w="980" w:type="pct"/>
            <w:shd w:val="clear" w:color="auto" w:fill="auto"/>
            <w:vAlign w:val="center"/>
          </w:tcPr>
          <w:p w:rsidR="00875D1C" w:rsidRPr="00EE74A8" w:rsidRDefault="00875D1C" w:rsidP="00F721A6">
            <w:pPr>
              <w:jc w:val="center"/>
              <w:rPr>
                <w:sz w:val="16"/>
                <w:szCs w:val="16"/>
              </w:rPr>
            </w:pPr>
            <w:r w:rsidRPr="00EE74A8">
              <w:rPr>
                <w:sz w:val="16"/>
                <w:szCs w:val="16"/>
              </w:rPr>
              <w:t>Projection</w:t>
            </w:r>
          </w:p>
          <w:p w:rsidR="00875D1C" w:rsidRPr="00EE74A8" w:rsidRDefault="00875D1C" w:rsidP="00F721A6">
            <w:pPr>
              <w:jc w:val="center"/>
              <w:rPr>
                <w:sz w:val="16"/>
                <w:szCs w:val="16"/>
              </w:rPr>
            </w:pPr>
            <w:r w:rsidRPr="00EE74A8">
              <w:rPr>
                <w:sz w:val="16"/>
                <w:szCs w:val="16"/>
              </w:rPr>
              <w:t>[</w:t>
            </w:r>
            <w:r w:rsidR="00DA2E55" w:rsidRPr="00EE74A8">
              <w:rPr>
                <w:sz w:val="16"/>
                <w:szCs w:val="16"/>
              </w:rPr>
              <w:t>15]</w:t>
            </w:r>
          </w:p>
        </w:tc>
        <w:tc>
          <w:tcPr>
            <w:tcW w:w="860" w:type="pct"/>
            <w:shd w:val="clear" w:color="auto" w:fill="auto"/>
            <w:vAlign w:val="center"/>
          </w:tcPr>
          <w:p w:rsidR="00875D1C" w:rsidRPr="00EE74A8" w:rsidRDefault="00DA2E55" w:rsidP="00F721A6">
            <w:pPr>
              <w:jc w:val="center"/>
              <w:rPr>
                <w:sz w:val="16"/>
                <w:szCs w:val="16"/>
              </w:rPr>
            </w:pPr>
            <w:r w:rsidRPr="00EE74A8">
              <w:rPr>
                <w:sz w:val="16"/>
                <w:szCs w:val="16"/>
              </w:rPr>
              <w:t>BPPT OEI 2018</w:t>
            </w:r>
          </w:p>
          <w:p w:rsidR="00DA2E55" w:rsidRPr="00EE74A8" w:rsidRDefault="00DA2E55" w:rsidP="00F721A6">
            <w:pPr>
              <w:jc w:val="center"/>
              <w:rPr>
                <w:sz w:val="16"/>
                <w:szCs w:val="16"/>
              </w:rPr>
            </w:pPr>
            <w:r w:rsidRPr="00EE74A8">
              <w:rPr>
                <w:sz w:val="16"/>
                <w:szCs w:val="16"/>
              </w:rPr>
              <w:t>[2]</w:t>
            </w:r>
          </w:p>
        </w:tc>
      </w:tr>
      <w:tr w:rsidR="00D33E9E" w:rsidRPr="00EE74A8" w:rsidTr="008D37F5">
        <w:trPr>
          <w:trHeight w:val="60"/>
        </w:trPr>
        <w:tc>
          <w:tcPr>
            <w:tcW w:w="651" w:type="pct"/>
            <w:shd w:val="clear" w:color="auto" w:fill="auto"/>
            <w:noWrap/>
          </w:tcPr>
          <w:p w:rsidR="00D33E9E" w:rsidRPr="00EE74A8" w:rsidRDefault="00D33E9E" w:rsidP="00F721A6">
            <w:pPr>
              <w:rPr>
                <w:sz w:val="16"/>
                <w:szCs w:val="16"/>
              </w:rPr>
            </w:pPr>
            <w:r w:rsidRPr="00EE74A8">
              <w:rPr>
                <w:sz w:val="16"/>
                <w:szCs w:val="16"/>
              </w:rPr>
              <w:t>2010</w:t>
            </w:r>
          </w:p>
        </w:tc>
        <w:tc>
          <w:tcPr>
            <w:tcW w:w="772" w:type="pct"/>
            <w:shd w:val="clear" w:color="auto" w:fill="auto"/>
            <w:vAlign w:val="center"/>
          </w:tcPr>
          <w:p w:rsidR="00D33E9E" w:rsidRPr="00EE74A8" w:rsidRDefault="00D33E9E" w:rsidP="00F721A6">
            <w:pPr>
              <w:jc w:val="center"/>
              <w:rPr>
                <w:rStyle w:val="SubtleEmphasis"/>
                <w:i w:val="0"/>
                <w:sz w:val="16"/>
                <w:szCs w:val="16"/>
              </w:rPr>
            </w:pPr>
          </w:p>
        </w:tc>
        <w:tc>
          <w:tcPr>
            <w:tcW w:w="841" w:type="pct"/>
            <w:shd w:val="clear" w:color="auto" w:fill="auto"/>
            <w:vAlign w:val="center"/>
          </w:tcPr>
          <w:p w:rsidR="00D33E9E" w:rsidRPr="00EE74A8" w:rsidRDefault="00D33E9E" w:rsidP="00F721A6">
            <w:pPr>
              <w:jc w:val="center"/>
              <w:rPr>
                <w:sz w:val="16"/>
                <w:szCs w:val="16"/>
              </w:rPr>
            </w:pPr>
            <w:r w:rsidRPr="00EE74A8">
              <w:rPr>
                <w:sz w:val="16"/>
                <w:szCs w:val="16"/>
              </w:rPr>
              <w:t>4,42</w:t>
            </w:r>
          </w:p>
        </w:tc>
        <w:tc>
          <w:tcPr>
            <w:tcW w:w="895" w:type="pct"/>
            <w:shd w:val="clear" w:color="auto" w:fill="auto"/>
            <w:vAlign w:val="center"/>
          </w:tcPr>
          <w:p w:rsidR="00D33E9E" w:rsidRPr="00EE74A8" w:rsidRDefault="00D33E9E" w:rsidP="00F721A6">
            <w:pPr>
              <w:jc w:val="center"/>
              <w:rPr>
                <w:sz w:val="16"/>
                <w:szCs w:val="16"/>
              </w:rPr>
            </w:pPr>
          </w:p>
        </w:tc>
        <w:tc>
          <w:tcPr>
            <w:tcW w:w="980" w:type="pct"/>
            <w:shd w:val="clear" w:color="auto" w:fill="auto"/>
            <w:vAlign w:val="center"/>
          </w:tcPr>
          <w:p w:rsidR="00D33E9E" w:rsidRPr="00EE74A8" w:rsidRDefault="00D33E9E" w:rsidP="00F721A6">
            <w:pPr>
              <w:jc w:val="center"/>
              <w:rPr>
                <w:sz w:val="16"/>
                <w:szCs w:val="16"/>
              </w:rPr>
            </w:pPr>
          </w:p>
        </w:tc>
        <w:tc>
          <w:tcPr>
            <w:tcW w:w="860" w:type="pct"/>
            <w:shd w:val="clear" w:color="auto" w:fill="auto"/>
            <w:vAlign w:val="center"/>
          </w:tcPr>
          <w:p w:rsidR="00D33E9E" w:rsidRPr="00EE74A8" w:rsidRDefault="00D33E9E" w:rsidP="00F721A6">
            <w:pPr>
              <w:jc w:val="center"/>
              <w:rPr>
                <w:sz w:val="16"/>
                <w:szCs w:val="16"/>
              </w:rPr>
            </w:pPr>
          </w:p>
        </w:tc>
      </w:tr>
      <w:tr w:rsidR="00D33E9E" w:rsidRPr="00EE74A8" w:rsidTr="008D37F5">
        <w:tc>
          <w:tcPr>
            <w:tcW w:w="651" w:type="pct"/>
            <w:shd w:val="clear" w:color="auto" w:fill="auto"/>
            <w:noWrap/>
          </w:tcPr>
          <w:p w:rsidR="00D33E9E" w:rsidRPr="00EE74A8" w:rsidRDefault="00D33E9E" w:rsidP="00F721A6">
            <w:pPr>
              <w:rPr>
                <w:sz w:val="16"/>
                <w:szCs w:val="16"/>
              </w:rPr>
            </w:pPr>
            <w:r w:rsidRPr="00EE74A8">
              <w:rPr>
                <w:sz w:val="16"/>
                <w:szCs w:val="16"/>
              </w:rPr>
              <w:t>2011</w:t>
            </w:r>
          </w:p>
        </w:tc>
        <w:tc>
          <w:tcPr>
            <w:tcW w:w="772"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p>
        </w:tc>
        <w:tc>
          <w:tcPr>
            <w:tcW w:w="841"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r w:rsidRPr="00EE74A8">
              <w:rPr>
                <w:rFonts w:ascii="Times New Roman" w:hAnsi="Times New Roman"/>
                <w:sz w:val="16"/>
                <w:szCs w:val="16"/>
              </w:rPr>
              <w:t>4,32</w:t>
            </w:r>
          </w:p>
        </w:tc>
        <w:tc>
          <w:tcPr>
            <w:tcW w:w="895"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p>
        </w:tc>
        <w:tc>
          <w:tcPr>
            <w:tcW w:w="980"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p>
        </w:tc>
        <w:tc>
          <w:tcPr>
            <w:tcW w:w="860"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p>
        </w:tc>
      </w:tr>
      <w:tr w:rsidR="00D33E9E" w:rsidRPr="00EE74A8" w:rsidTr="008D37F5">
        <w:tc>
          <w:tcPr>
            <w:tcW w:w="651" w:type="pct"/>
            <w:shd w:val="clear" w:color="auto" w:fill="auto"/>
            <w:noWrap/>
          </w:tcPr>
          <w:p w:rsidR="00D33E9E" w:rsidRPr="00EE74A8" w:rsidRDefault="00D33E9E" w:rsidP="00F721A6">
            <w:pPr>
              <w:rPr>
                <w:sz w:val="16"/>
                <w:szCs w:val="16"/>
              </w:rPr>
            </w:pPr>
            <w:r w:rsidRPr="00EE74A8">
              <w:rPr>
                <w:sz w:val="16"/>
                <w:szCs w:val="16"/>
              </w:rPr>
              <w:t>2012</w:t>
            </w:r>
          </w:p>
        </w:tc>
        <w:tc>
          <w:tcPr>
            <w:tcW w:w="772"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p>
        </w:tc>
        <w:tc>
          <w:tcPr>
            <w:tcW w:w="841" w:type="pct"/>
            <w:shd w:val="clear" w:color="auto" w:fill="auto"/>
            <w:vAlign w:val="center"/>
          </w:tcPr>
          <w:p w:rsidR="00D33E9E" w:rsidRPr="00EE74A8" w:rsidRDefault="00D33E9E" w:rsidP="00F721A6">
            <w:pPr>
              <w:pStyle w:val="DecimalAligned"/>
              <w:spacing w:after="0" w:line="240" w:lineRule="auto"/>
              <w:rPr>
                <w:rFonts w:ascii="Times New Roman" w:hAnsi="Times New Roman"/>
                <w:sz w:val="16"/>
                <w:szCs w:val="16"/>
              </w:rPr>
            </w:pPr>
            <w:r w:rsidRPr="00EE74A8">
              <w:rPr>
                <w:rFonts w:ascii="Times New Roman" w:hAnsi="Times New Roman"/>
                <w:sz w:val="16"/>
                <w:szCs w:val="16"/>
              </w:rPr>
              <w:t>4,52</w:t>
            </w:r>
          </w:p>
        </w:tc>
        <w:tc>
          <w:tcPr>
            <w:tcW w:w="895"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p>
        </w:tc>
        <w:tc>
          <w:tcPr>
            <w:tcW w:w="980"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p>
        </w:tc>
        <w:tc>
          <w:tcPr>
            <w:tcW w:w="860"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p>
        </w:tc>
      </w:tr>
      <w:tr w:rsidR="00D33E9E" w:rsidRPr="00EE74A8" w:rsidTr="008D37F5">
        <w:tc>
          <w:tcPr>
            <w:tcW w:w="651" w:type="pct"/>
            <w:shd w:val="clear" w:color="auto" w:fill="auto"/>
            <w:noWrap/>
          </w:tcPr>
          <w:p w:rsidR="00D33E9E" w:rsidRPr="00EE74A8" w:rsidRDefault="00D33E9E" w:rsidP="00F721A6">
            <w:pPr>
              <w:rPr>
                <w:sz w:val="16"/>
                <w:szCs w:val="16"/>
              </w:rPr>
            </w:pPr>
            <w:r w:rsidRPr="00EE74A8">
              <w:rPr>
                <w:sz w:val="16"/>
                <w:szCs w:val="16"/>
              </w:rPr>
              <w:t>2013</w:t>
            </w:r>
          </w:p>
        </w:tc>
        <w:tc>
          <w:tcPr>
            <w:tcW w:w="772"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p>
        </w:tc>
        <w:tc>
          <w:tcPr>
            <w:tcW w:w="841"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r w:rsidRPr="00EE74A8">
              <w:rPr>
                <w:rFonts w:ascii="Times New Roman" w:hAnsi="Times New Roman"/>
                <w:sz w:val="16"/>
                <w:szCs w:val="16"/>
              </w:rPr>
              <w:t>5,18</w:t>
            </w:r>
          </w:p>
        </w:tc>
        <w:tc>
          <w:tcPr>
            <w:tcW w:w="895"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p>
        </w:tc>
        <w:tc>
          <w:tcPr>
            <w:tcW w:w="980"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p>
        </w:tc>
        <w:tc>
          <w:tcPr>
            <w:tcW w:w="860"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p>
        </w:tc>
      </w:tr>
      <w:tr w:rsidR="00D33E9E" w:rsidRPr="00EE74A8" w:rsidTr="008D37F5">
        <w:tc>
          <w:tcPr>
            <w:tcW w:w="651" w:type="pct"/>
            <w:shd w:val="clear" w:color="auto" w:fill="auto"/>
            <w:noWrap/>
          </w:tcPr>
          <w:p w:rsidR="00D33E9E" w:rsidRPr="00EE74A8" w:rsidRDefault="00D33E9E" w:rsidP="00F721A6">
            <w:pPr>
              <w:rPr>
                <w:sz w:val="16"/>
                <w:szCs w:val="16"/>
              </w:rPr>
            </w:pPr>
            <w:r w:rsidRPr="00EE74A8">
              <w:rPr>
                <w:sz w:val="16"/>
                <w:szCs w:val="16"/>
              </w:rPr>
              <w:t>2014</w:t>
            </w:r>
          </w:p>
        </w:tc>
        <w:tc>
          <w:tcPr>
            <w:tcW w:w="772"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p>
        </w:tc>
        <w:tc>
          <w:tcPr>
            <w:tcW w:w="841"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r w:rsidRPr="00EE74A8">
              <w:rPr>
                <w:rFonts w:ascii="Times New Roman" w:hAnsi="Times New Roman"/>
                <w:sz w:val="16"/>
                <w:szCs w:val="16"/>
              </w:rPr>
              <w:t>6,35</w:t>
            </w:r>
          </w:p>
        </w:tc>
        <w:tc>
          <w:tcPr>
            <w:tcW w:w="895"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p>
        </w:tc>
        <w:tc>
          <w:tcPr>
            <w:tcW w:w="980"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p>
        </w:tc>
        <w:tc>
          <w:tcPr>
            <w:tcW w:w="860"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p>
        </w:tc>
      </w:tr>
      <w:tr w:rsidR="00D33E9E" w:rsidRPr="00EE74A8" w:rsidTr="008D37F5">
        <w:tc>
          <w:tcPr>
            <w:tcW w:w="651" w:type="pct"/>
            <w:shd w:val="clear" w:color="auto" w:fill="auto"/>
            <w:noWrap/>
          </w:tcPr>
          <w:p w:rsidR="00D33E9E" w:rsidRPr="00EE74A8" w:rsidRDefault="00D33E9E" w:rsidP="00F721A6">
            <w:pPr>
              <w:rPr>
                <w:sz w:val="16"/>
                <w:szCs w:val="16"/>
              </w:rPr>
            </w:pPr>
            <w:r w:rsidRPr="00EE74A8">
              <w:rPr>
                <w:sz w:val="16"/>
                <w:szCs w:val="16"/>
              </w:rPr>
              <w:t>2015</w:t>
            </w:r>
          </w:p>
        </w:tc>
        <w:tc>
          <w:tcPr>
            <w:tcW w:w="772"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r w:rsidRPr="00EE74A8">
              <w:rPr>
                <w:rFonts w:ascii="Times New Roman" w:hAnsi="Times New Roman"/>
                <w:sz w:val="16"/>
                <w:szCs w:val="16"/>
              </w:rPr>
              <w:t>5,06</w:t>
            </w:r>
          </w:p>
        </w:tc>
        <w:tc>
          <w:tcPr>
            <w:tcW w:w="841"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r w:rsidRPr="00EE74A8">
              <w:rPr>
                <w:rFonts w:ascii="Times New Roman" w:hAnsi="Times New Roman"/>
                <w:sz w:val="16"/>
                <w:szCs w:val="16"/>
              </w:rPr>
              <w:t>6,70</w:t>
            </w:r>
          </w:p>
        </w:tc>
        <w:tc>
          <w:tcPr>
            <w:tcW w:w="895"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p>
        </w:tc>
        <w:tc>
          <w:tcPr>
            <w:tcW w:w="980"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p>
        </w:tc>
        <w:tc>
          <w:tcPr>
            <w:tcW w:w="860"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p>
        </w:tc>
      </w:tr>
      <w:tr w:rsidR="00D33E9E" w:rsidRPr="00EE74A8" w:rsidTr="008D37F5">
        <w:tc>
          <w:tcPr>
            <w:tcW w:w="651" w:type="pct"/>
            <w:shd w:val="clear" w:color="auto" w:fill="auto"/>
            <w:noWrap/>
          </w:tcPr>
          <w:p w:rsidR="00D33E9E" w:rsidRPr="00EE74A8" w:rsidRDefault="00D33E9E" w:rsidP="00F721A6">
            <w:pPr>
              <w:rPr>
                <w:sz w:val="16"/>
                <w:szCs w:val="16"/>
              </w:rPr>
            </w:pPr>
            <w:r w:rsidRPr="00EE74A8">
              <w:rPr>
                <w:sz w:val="16"/>
                <w:szCs w:val="16"/>
              </w:rPr>
              <w:t>2016</w:t>
            </w:r>
          </w:p>
        </w:tc>
        <w:tc>
          <w:tcPr>
            <w:tcW w:w="772" w:type="pct"/>
            <w:shd w:val="clear" w:color="auto" w:fill="auto"/>
            <w:vAlign w:val="center"/>
          </w:tcPr>
          <w:p w:rsidR="00D33E9E" w:rsidRPr="00EE74A8" w:rsidRDefault="00D33E9E" w:rsidP="00F721A6">
            <w:pPr>
              <w:jc w:val="center"/>
              <w:rPr>
                <w:rStyle w:val="SubtleEmphasis"/>
                <w:i w:val="0"/>
                <w:sz w:val="16"/>
                <w:szCs w:val="16"/>
              </w:rPr>
            </w:pPr>
            <w:r w:rsidRPr="00EE74A8">
              <w:rPr>
                <w:rStyle w:val="SubtleEmphasis"/>
                <w:i w:val="0"/>
                <w:sz w:val="16"/>
                <w:szCs w:val="16"/>
              </w:rPr>
              <w:t>5,69</w:t>
            </w:r>
          </w:p>
        </w:tc>
        <w:tc>
          <w:tcPr>
            <w:tcW w:w="841" w:type="pct"/>
            <w:shd w:val="clear" w:color="auto" w:fill="auto"/>
            <w:vAlign w:val="center"/>
          </w:tcPr>
          <w:p w:rsidR="00D33E9E" w:rsidRPr="00EE74A8" w:rsidRDefault="00D33E9E" w:rsidP="00F721A6">
            <w:pPr>
              <w:jc w:val="center"/>
              <w:rPr>
                <w:sz w:val="16"/>
                <w:szCs w:val="16"/>
              </w:rPr>
            </w:pPr>
            <w:r w:rsidRPr="00EE74A8">
              <w:rPr>
                <w:sz w:val="16"/>
                <w:szCs w:val="16"/>
              </w:rPr>
              <w:t>7,70</w:t>
            </w:r>
          </w:p>
        </w:tc>
        <w:tc>
          <w:tcPr>
            <w:tcW w:w="895" w:type="pct"/>
            <w:shd w:val="clear" w:color="auto" w:fill="auto"/>
            <w:vAlign w:val="center"/>
          </w:tcPr>
          <w:p w:rsidR="00D33E9E" w:rsidRPr="00EE74A8" w:rsidRDefault="00D33E9E" w:rsidP="00F721A6">
            <w:pPr>
              <w:jc w:val="center"/>
              <w:rPr>
                <w:sz w:val="16"/>
                <w:szCs w:val="16"/>
              </w:rPr>
            </w:pPr>
          </w:p>
        </w:tc>
        <w:tc>
          <w:tcPr>
            <w:tcW w:w="980" w:type="pct"/>
            <w:shd w:val="clear" w:color="auto" w:fill="auto"/>
            <w:vAlign w:val="center"/>
          </w:tcPr>
          <w:p w:rsidR="00D33E9E" w:rsidRPr="00EE74A8" w:rsidRDefault="00D33E9E" w:rsidP="00F721A6">
            <w:pPr>
              <w:jc w:val="center"/>
              <w:rPr>
                <w:sz w:val="16"/>
                <w:szCs w:val="16"/>
              </w:rPr>
            </w:pPr>
          </w:p>
        </w:tc>
        <w:tc>
          <w:tcPr>
            <w:tcW w:w="860" w:type="pct"/>
            <w:shd w:val="clear" w:color="auto" w:fill="auto"/>
            <w:vAlign w:val="center"/>
          </w:tcPr>
          <w:p w:rsidR="00D33E9E" w:rsidRPr="00EE74A8" w:rsidRDefault="00D33E9E" w:rsidP="00F721A6">
            <w:pPr>
              <w:jc w:val="center"/>
              <w:rPr>
                <w:sz w:val="16"/>
                <w:szCs w:val="16"/>
              </w:rPr>
            </w:pPr>
          </w:p>
        </w:tc>
      </w:tr>
      <w:tr w:rsidR="00D33E9E" w:rsidRPr="00EE74A8" w:rsidTr="008D37F5">
        <w:tc>
          <w:tcPr>
            <w:tcW w:w="651" w:type="pct"/>
            <w:shd w:val="clear" w:color="auto" w:fill="auto"/>
            <w:noWrap/>
          </w:tcPr>
          <w:p w:rsidR="00D33E9E" w:rsidRPr="00EE74A8" w:rsidRDefault="00D33E9E" w:rsidP="00F721A6">
            <w:pPr>
              <w:rPr>
                <w:sz w:val="16"/>
                <w:szCs w:val="16"/>
              </w:rPr>
            </w:pPr>
            <w:r w:rsidRPr="00EE74A8">
              <w:rPr>
                <w:sz w:val="16"/>
                <w:szCs w:val="16"/>
              </w:rPr>
              <w:t>2017</w:t>
            </w:r>
          </w:p>
        </w:tc>
        <w:tc>
          <w:tcPr>
            <w:tcW w:w="772"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r w:rsidRPr="00EE74A8">
              <w:rPr>
                <w:rFonts w:ascii="Times New Roman" w:hAnsi="Times New Roman"/>
                <w:sz w:val="16"/>
                <w:szCs w:val="16"/>
              </w:rPr>
              <w:t>6,36</w:t>
            </w:r>
          </w:p>
        </w:tc>
        <w:tc>
          <w:tcPr>
            <w:tcW w:w="841"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r w:rsidRPr="00EE74A8">
              <w:rPr>
                <w:rFonts w:ascii="Times New Roman" w:hAnsi="Times New Roman"/>
                <w:sz w:val="16"/>
                <w:szCs w:val="16"/>
              </w:rPr>
              <w:t>8,25</w:t>
            </w:r>
          </w:p>
        </w:tc>
        <w:tc>
          <w:tcPr>
            <w:tcW w:w="895"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r w:rsidRPr="00EE74A8">
              <w:rPr>
                <w:rFonts w:ascii="Times New Roman" w:hAnsi="Times New Roman"/>
                <w:sz w:val="16"/>
                <w:szCs w:val="16"/>
              </w:rPr>
              <w:t>12,15</w:t>
            </w:r>
          </w:p>
        </w:tc>
        <w:tc>
          <w:tcPr>
            <w:tcW w:w="980"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p>
        </w:tc>
        <w:tc>
          <w:tcPr>
            <w:tcW w:w="860"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p>
        </w:tc>
      </w:tr>
      <w:tr w:rsidR="00D33E9E" w:rsidRPr="00EE74A8" w:rsidTr="008D37F5">
        <w:tc>
          <w:tcPr>
            <w:tcW w:w="651" w:type="pct"/>
            <w:shd w:val="clear" w:color="auto" w:fill="auto"/>
            <w:noWrap/>
          </w:tcPr>
          <w:p w:rsidR="00D33E9E" w:rsidRPr="00EE74A8" w:rsidRDefault="00D33E9E" w:rsidP="00F721A6">
            <w:pPr>
              <w:rPr>
                <w:sz w:val="16"/>
                <w:szCs w:val="16"/>
              </w:rPr>
            </w:pPr>
            <w:r w:rsidRPr="00EE74A8">
              <w:rPr>
                <w:sz w:val="16"/>
                <w:szCs w:val="16"/>
              </w:rPr>
              <w:t>2018</w:t>
            </w:r>
          </w:p>
        </w:tc>
        <w:tc>
          <w:tcPr>
            <w:tcW w:w="772"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r w:rsidRPr="00EE74A8">
              <w:rPr>
                <w:rFonts w:ascii="Times New Roman" w:hAnsi="Times New Roman"/>
                <w:sz w:val="16"/>
                <w:szCs w:val="16"/>
              </w:rPr>
              <w:t>7,23</w:t>
            </w:r>
          </w:p>
        </w:tc>
        <w:tc>
          <w:tcPr>
            <w:tcW w:w="841"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r w:rsidRPr="00EE74A8">
              <w:rPr>
                <w:rFonts w:ascii="Times New Roman" w:hAnsi="Times New Roman"/>
                <w:sz w:val="16"/>
                <w:szCs w:val="16"/>
              </w:rPr>
              <w:t>8,80</w:t>
            </w:r>
          </w:p>
        </w:tc>
        <w:tc>
          <w:tcPr>
            <w:tcW w:w="895"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r w:rsidRPr="00EE74A8">
              <w:rPr>
                <w:rFonts w:ascii="Times New Roman" w:hAnsi="Times New Roman"/>
                <w:sz w:val="16"/>
                <w:szCs w:val="16"/>
              </w:rPr>
              <w:t>12,71</w:t>
            </w:r>
          </w:p>
        </w:tc>
        <w:tc>
          <w:tcPr>
            <w:tcW w:w="980"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r w:rsidRPr="00EE74A8">
              <w:rPr>
                <w:rFonts w:ascii="Times New Roman" w:hAnsi="Times New Roman"/>
                <w:sz w:val="16"/>
                <w:szCs w:val="16"/>
              </w:rPr>
              <w:t>12,50</w:t>
            </w:r>
          </w:p>
        </w:tc>
        <w:tc>
          <w:tcPr>
            <w:tcW w:w="860"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p>
        </w:tc>
      </w:tr>
      <w:tr w:rsidR="00D33E9E" w:rsidRPr="00EE74A8" w:rsidTr="008D37F5">
        <w:tc>
          <w:tcPr>
            <w:tcW w:w="651" w:type="pct"/>
            <w:shd w:val="clear" w:color="auto" w:fill="auto"/>
            <w:noWrap/>
          </w:tcPr>
          <w:p w:rsidR="00D33E9E" w:rsidRPr="00EE74A8" w:rsidRDefault="00D33E9E" w:rsidP="00F721A6">
            <w:pPr>
              <w:rPr>
                <w:sz w:val="16"/>
                <w:szCs w:val="16"/>
              </w:rPr>
            </w:pPr>
            <w:r w:rsidRPr="00EE74A8">
              <w:rPr>
                <w:sz w:val="16"/>
                <w:szCs w:val="16"/>
              </w:rPr>
              <w:t>2019</w:t>
            </w:r>
          </w:p>
        </w:tc>
        <w:tc>
          <w:tcPr>
            <w:tcW w:w="772"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r w:rsidRPr="00EE74A8">
              <w:rPr>
                <w:rFonts w:ascii="Times New Roman" w:hAnsi="Times New Roman"/>
                <w:sz w:val="16"/>
                <w:szCs w:val="16"/>
              </w:rPr>
              <w:t>8,21</w:t>
            </w:r>
          </w:p>
        </w:tc>
        <w:tc>
          <w:tcPr>
            <w:tcW w:w="841"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r w:rsidRPr="00EE74A8">
              <w:rPr>
                <w:rFonts w:ascii="Times New Roman" w:hAnsi="Times New Roman"/>
                <w:sz w:val="16"/>
                <w:szCs w:val="16"/>
              </w:rPr>
              <w:t>9,35</w:t>
            </w:r>
          </w:p>
        </w:tc>
        <w:tc>
          <w:tcPr>
            <w:tcW w:w="895"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p>
        </w:tc>
        <w:tc>
          <w:tcPr>
            <w:tcW w:w="980"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r w:rsidRPr="00EE74A8">
              <w:rPr>
                <w:rFonts w:ascii="Times New Roman" w:hAnsi="Times New Roman"/>
                <w:sz w:val="16"/>
                <w:szCs w:val="16"/>
              </w:rPr>
              <w:t>12,40</w:t>
            </w:r>
          </w:p>
        </w:tc>
        <w:tc>
          <w:tcPr>
            <w:tcW w:w="860"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p>
        </w:tc>
      </w:tr>
      <w:tr w:rsidR="00D33E9E" w:rsidRPr="00EE74A8" w:rsidTr="008D37F5">
        <w:tc>
          <w:tcPr>
            <w:tcW w:w="651" w:type="pct"/>
            <w:shd w:val="clear" w:color="auto" w:fill="auto"/>
            <w:noWrap/>
          </w:tcPr>
          <w:p w:rsidR="00D33E9E" w:rsidRPr="00EE74A8" w:rsidRDefault="00D33E9E" w:rsidP="00F721A6">
            <w:pPr>
              <w:rPr>
                <w:sz w:val="16"/>
                <w:szCs w:val="16"/>
              </w:rPr>
            </w:pPr>
            <w:r w:rsidRPr="00EE74A8">
              <w:rPr>
                <w:sz w:val="16"/>
                <w:szCs w:val="16"/>
              </w:rPr>
              <w:t>2020</w:t>
            </w:r>
          </w:p>
        </w:tc>
        <w:tc>
          <w:tcPr>
            <w:tcW w:w="772"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r w:rsidRPr="00EE74A8">
              <w:rPr>
                <w:rFonts w:ascii="Times New Roman" w:hAnsi="Times New Roman"/>
                <w:sz w:val="16"/>
                <w:szCs w:val="16"/>
              </w:rPr>
              <w:t>9,60</w:t>
            </w:r>
          </w:p>
        </w:tc>
        <w:tc>
          <w:tcPr>
            <w:tcW w:w="841"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r w:rsidRPr="00EE74A8">
              <w:rPr>
                <w:rFonts w:ascii="Times New Roman" w:hAnsi="Times New Roman"/>
                <w:sz w:val="16"/>
                <w:szCs w:val="16"/>
              </w:rPr>
              <w:t>9,90</w:t>
            </w:r>
          </w:p>
        </w:tc>
        <w:tc>
          <w:tcPr>
            <w:tcW w:w="895"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p>
        </w:tc>
        <w:tc>
          <w:tcPr>
            <w:tcW w:w="980"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r w:rsidRPr="00EE74A8">
              <w:rPr>
                <w:rFonts w:ascii="Times New Roman" w:hAnsi="Times New Roman"/>
                <w:sz w:val="16"/>
                <w:szCs w:val="16"/>
              </w:rPr>
              <w:t>12,10</w:t>
            </w:r>
          </w:p>
        </w:tc>
        <w:tc>
          <w:tcPr>
            <w:tcW w:w="860"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r w:rsidRPr="00EE74A8">
              <w:rPr>
                <w:rFonts w:ascii="Times New Roman" w:hAnsi="Times New Roman"/>
                <w:sz w:val="16"/>
                <w:szCs w:val="16"/>
              </w:rPr>
              <w:t>11,00</w:t>
            </w:r>
          </w:p>
        </w:tc>
      </w:tr>
      <w:tr w:rsidR="00D33E9E" w:rsidRPr="00EE74A8" w:rsidTr="008D37F5">
        <w:tc>
          <w:tcPr>
            <w:tcW w:w="651" w:type="pct"/>
            <w:shd w:val="clear" w:color="auto" w:fill="auto"/>
            <w:noWrap/>
          </w:tcPr>
          <w:p w:rsidR="00D33E9E" w:rsidRPr="00EE74A8" w:rsidRDefault="00D33E9E" w:rsidP="00F721A6">
            <w:pPr>
              <w:rPr>
                <w:sz w:val="16"/>
                <w:szCs w:val="16"/>
              </w:rPr>
            </w:pPr>
            <w:r w:rsidRPr="00EE74A8">
              <w:rPr>
                <w:sz w:val="16"/>
                <w:szCs w:val="16"/>
              </w:rPr>
              <w:t>2021</w:t>
            </w:r>
          </w:p>
        </w:tc>
        <w:tc>
          <w:tcPr>
            <w:tcW w:w="772"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p>
        </w:tc>
        <w:tc>
          <w:tcPr>
            <w:tcW w:w="841"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r w:rsidRPr="00EE74A8">
              <w:rPr>
                <w:rFonts w:ascii="Times New Roman" w:hAnsi="Times New Roman"/>
                <w:sz w:val="16"/>
                <w:szCs w:val="16"/>
              </w:rPr>
              <w:t>10,45</w:t>
            </w:r>
          </w:p>
        </w:tc>
        <w:tc>
          <w:tcPr>
            <w:tcW w:w="895"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p>
        </w:tc>
        <w:tc>
          <w:tcPr>
            <w:tcW w:w="980"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r w:rsidRPr="00EE74A8">
              <w:rPr>
                <w:rFonts w:ascii="Times New Roman" w:hAnsi="Times New Roman"/>
                <w:sz w:val="16"/>
                <w:szCs w:val="16"/>
              </w:rPr>
              <w:t>12,40</w:t>
            </w:r>
          </w:p>
        </w:tc>
        <w:tc>
          <w:tcPr>
            <w:tcW w:w="860"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p>
        </w:tc>
      </w:tr>
      <w:tr w:rsidR="00D33E9E" w:rsidRPr="00EE74A8" w:rsidTr="008D37F5">
        <w:tc>
          <w:tcPr>
            <w:tcW w:w="651" w:type="pct"/>
            <w:shd w:val="clear" w:color="auto" w:fill="auto"/>
            <w:noWrap/>
          </w:tcPr>
          <w:p w:rsidR="00D33E9E" w:rsidRPr="00EE74A8" w:rsidRDefault="00D33E9E" w:rsidP="00F721A6">
            <w:pPr>
              <w:rPr>
                <w:sz w:val="16"/>
                <w:szCs w:val="16"/>
              </w:rPr>
            </w:pPr>
            <w:r w:rsidRPr="00EE74A8">
              <w:rPr>
                <w:sz w:val="16"/>
                <w:szCs w:val="16"/>
              </w:rPr>
              <w:t>2022</w:t>
            </w:r>
          </w:p>
        </w:tc>
        <w:tc>
          <w:tcPr>
            <w:tcW w:w="772"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p>
        </w:tc>
        <w:tc>
          <w:tcPr>
            <w:tcW w:w="841"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r w:rsidRPr="00EE74A8">
              <w:rPr>
                <w:rFonts w:ascii="Times New Roman" w:hAnsi="Times New Roman"/>
                <w:sz w:val="16"/>
                <w:szCs w:val="16"/>
              </w:rPr>
              <w:t>11,00</w:t>
            </w:r>
          </w:p>
        </w:tc>
        <w:tc>
          <w:tcPr>
            <w:tcW w:w="895"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p>
        </w:tc>
        <w:tc>
          <w:tcPr>
            <w:tcW w:w="980"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r w:rsidRPr="00EE74A8">
              <w:rPr>
                <w:rFonts w:ascii="Times New Roman" w:hAnsi="Times New Roman"/>
                <w:sz w:val="16"/>
                <w:szCs w:val="16"/>
              </w:rPr>
              <w:t>12,60</w:t>
            </w:r>
          </w:p>
        </w:tc>
        <w:tc>
          <w:tcPr>
            <w:tcW w:w="860"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p>
        </w:tc>
      </w:tr>
      <w:tr w:rsidR="00D33E9E" w:rsidRPr="00EE74A8" w:rsidTr="008D37F5">
        <w:tc>
          <w:tcPr>
            <w:tcW w:w="651" w:type="pct"/>
            <w:shd w:val="clear" w:color="auto" w:fill="auto"/>
            <w:noWrap/>
          </w:tcPr>
          <w:p w:rsidR="00D33E9E" w:rsidRPr="00EE74A8" w:rsidRDefault="00D33E9E" w:rsidP="00F721A6">
            <w:pPr>
              <w:rPr>
                <w:sz w:val="16"/>
                <w:szCs w:val="16"/>
              </w:rPr>
            </w:pPr>
            <w:r w:rsidRPr="00EE74A8">
              <w:rPr>
                <w:sz w:val="16"/>
                <w:szCs w:val="16"/>
              </w:rPr>
              <w:t>2023</w:t>
            </w:r>
          </w:p>
        </w:tc>
        <w:tc>
          <w:tcPr>
            <w:tcW w:w="772"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p>
        </w:tc>
        <w:tc>
          <w:tcPr>
            <w:tcW w:w="841"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r w:rsidRPr="00EE74A8">
              <w:rPr>
                <w:rFonts w:ascii="Times New Roman" w:hAnsi="Times New Roman"/>
                <w:sz w:val="16"/>
                <w:szCs w:val="16"/>
              </w:rPr>
              <w:t>11,55</w:t>
            </w:r>
          </w:p>
        </w:tc>
        <w:tc>
          <w:tcPr>
            <w:tcW w:w="895"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p>
        </w:tc>
        <w:tc>
          <w:tcPr>
            <w:tcW w:w="980"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r w:rsidRPr="00EE74A8">
              <w:rPr>
                <w:rFonts w:ascii="Times New Roman" w:hAnsi="Times New Roman"/>
                <w:sz w:val="16"/>
                <w:szCs w:val="16"/>
              </w:rPr>
              <w:t>13,20</w:t>
            </w:r>
          </w:p>
        </w:tc>
        <w:tc>
          <w:tcPr>
            <w:tcW w:w="860"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p>
        </w:tc>
      </w:tr>
      <w:tr w:rsidR="00D33E9E" w:rsidRPr="00EE74A8" w:rsidTr="008D37F5">
        <w:tc>
          <w:tcPr>
            <w:tcW w:w="651" w:type="pct"/>
            <w:shd w:val="clear" w:color="auto" w:fill="auto"/>
            <w:noWrap/>
          </w:tcPr>
          <w:p w:rsidR="00D33E9E" w:rsidRPr="00EE74A8" w:rsidRDefault="00D33E9E" w:rsidP="00F721A6">
            <w:pPr>
              <w:rPr>
                <w:sz w:val="16"/>
                <w:szCs w:val="16"/>
              </w:rPr>
            </w:pPr>
            <w:r w:rsidRPr="00EE74A8">
              <w:rPr>
                <w:sz w:val="16"/>
                <w:szCs w:val="16"/>
              </w:rPr>
              <w:t>2024</w:t>
            </w:r>
          </w:p>
        </w:tc>
        <w:tc>
          <w:tcPr>
            <w:tcW w:w="772"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p>
        </w:tc>
        <w:tc>
          <w:tcPr>
            <w:tcW w:w="841"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r w:rsidRPr="00EE74A8">
              <w:rPr>
                <w:rFonts w:ascii="Times New Roman" w:hAnsi="Times New Roman"/>
                <w:sz w:val="16"/>
                <w:szCs w:val="16"/>
              </w:rPr>
              <w:t>12,10</w:t>
            </w:r>
          </w:p>
        </w:tc>
        <w:tc>
          <w:tcPr>
            <w:tcW w:w="895"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p>
        </w:tc>
        <w:tc>
          <w:tcPr>
            <w:tcW w:w="980"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r w:rsidRPr="00EE74A8">
              <w:rPr>
                <w:rFonts w:ascii="Times New Roman" w:hAnsi="Times New Roman"/>
                <w:sz w:val="16"/>
                <w:szCs w:val="16"/>
              </w:rPr>
              <w:t>14,10</w:t>
            </w:r>
          </w:p>
        </w:tc>
        <w:tc>
          <w:tcPr>
            <w:tcW w:w="860" w:type="pct"/>
            <w:shd w:val="clear" w:color="auto" w:fill="auto"/>
            <w:vAlign w:val="center"/>
          </w:tcPr>
          <w:p w:rsidR="00D33E9E" w:rsidRPr="00EE74A8" w:rsidRDefault="00D33E9E" w:rsidP="00F721A6">
            <w:pPr>
              <w:pStyle w:val="DecimalAligned"/>
              <w:spacing w:after="0" w:line="240" w:lineRule="auto"/>
              <w:jc w:val="center"/>
              <w:rPr>
                <w:rFonts w:ascii="Times New Roman" w:hAnsi="Times New Roman"/>
                <w:sz w:val="16"/>
                <w:szCs w:val="16"/>
              </w:rPr>
            </w:pPr>
          </w:p>
        </w:tc>
      </w:tr>
      <w:tr w:rsidR="00D33E9E" w:rsidRPr="00EE74A8" w:rsidTr="008D37F5">
        <w:tc>
          <w:tcPr>
            <w:tcW w:w="651" w:type="pct"/>
            <w:shd w:val="clear" w:color="auto" w:fill="FFFFFF"/>
            <w:noWrap/>
          </w:tcPr>
          <w:p w:rsidR="00D33E9E" w:rsidRPr="00EE74A8" w:rsidRDefault="00D33E9E" w:rsidP="00F721A6">
            <w:pPr>
              <w:rPr>
                <w:sz w:val="16"/>
                <w:szCs w:val="16"/>
              </w:rPr>
            </w:pPr>
            <w:r w:rsidRPr="00EE74A8">
              <w:rPr>
                <w:sz w:val="16"/>
                <w:szCs w:val="16"/>
              </w:rPr>
              <w:t>2025</w:t>
            </w:r>
          </w:p>
        </w:tc>
        <w:tc>
          <w:tcPr>
            <w:tcW w:w="772" w:type="pct"/>
            <w:shd w:val="clear" w:color="auto" w:fill="FFFFFF"/>
            <w:vAlign w:val="center"/>
          </w:tcPr>
          <w:p w:rsidR="00D33E9E" w:rsidRPr="00EE74A8" w:rsidRDefault="00D33E9E" w:rsidP="00F721A6">
            <w:pPr>
              <w:pStyle w:val="DecimalAligned"/>
              <w:spacing w:after="0" w:line="240" w:lineRule="auto"/>
              <w:jc w:val="center"/>
              <w:rPr>
                <w:rFonts w:ascii="Times New Roman" w:hAnsi="Times New Roman"/>
                <w:sz w:val="16"/>
                <w:szCs w:val="16"/>
              </w:rPr>
            </w:pPr>
          </w:p>
        </w:tc>
        <w:tc>
          <w:tcPr>
            <w:tcW w:w="841" w:type="pct"/>
            <w:shd w:val="clear" w:color="auto" w:fill="FFFFFF"/>
            <w:vAlign w:val="center"/>
          </w:tcPr>
          <w:p w:rsidR="00D33E9E" w:rsidRPr="00EE74A8" w:rsidRDefault="00D33E9E" w:rsidP="00F721A6">
            <w:pPr>
              <w:pStyle w:val="DecimalAligned"/>
              <w:spacing w:after="0" w:line="240" w:lineRule="auto"/>
              <w:jc w:val="center"/>
              <w:rPr>
                <w:rFonts w:ascii="Times New Roman" w:hAnsi="Times New Roman"/>
                <w:sz w:val="16"/>
                <w:szCs w:val="16"/>
              </w:rPr>
            </w:pPr>
            <w:r w:rsidRPr="00EE74A8">
              <w:rPr>
                <w:rFonts w:ascii="Times New Roman" w:hAnsi="Times New Roman"/>
                <w:sz w:val="16"/>
                <w:szCs w:val="16"/>
              </w:rPr>
              <w:t>12,65</w:t>
            </w:r>
          </w:p>
        </w:tc>
        <w:tc>
          <w:tcPr>
            <w:tcW w:w="895" w:type="pct"/>
            <w:shd w:val="clear" w:color="auto" w:fill="FFFFFF"/>
            <w:vAlign w:val="center"/>
          </w:tcPr>
          <w:p w:rsidR="00D33E9E" w:rsidRPr="00EE74A8" w:rsidRDefault="00D33E9E" w:rsidP="00F721A6">
            <w:pPr>
              <w:pStyle w:val="DecimalAligned"/>
              <w:spacing w:after="0" w:line="240" w:lineRule="auto"/>
              <w:jc w:val="center"/>
              <w:rPr>
                <w:rFonts w:ascii="Times New Roman" w:hAnsi="Times New Roman"/>
                <w:sz w:val="16"/>
                <w:szCs w:val="16"/>
              </w:rPr>
            </w:pPr>
          </w:p>
        </w:tc>
        <w:tc>
          <w:tcPr>
            <w:tcW w:w="980" w:type="pct"/>
            <w:shd w:val="clear" w:color="auto" w:fill="FFFFFF"/>
            <w:vAlign w:val="center"/>
          </w:tcPr>
          <w:p w:rsidR="00D33E9E" w:rsidRPr="00EE74A8" w:rsidRDefault="00D33E9E" w:rsidP="00F721A6">
            <w:pPr>
              <w:pStyle w:val="DecimalAligned"/>
              <w:spacing w:after="0" w:line="240" w:lineRule="auto"/>
              <w:jc w:val="center"/>
              <w:rPr>
                <w:rFonts w:ascii="Times New Roman" w:hAnsi="Times New Roman"/>
                <w:sz w:val="16"/>
                <w:szCs w:val="16"/>
              </w:rPr>
            </w:pPr>
            <w:r w:rsidRPr="00EE74A8">
              <w:rPr>
                <w:rFonts w:ascii="Times New Roman" w:hAnsi="Times New Roman"/>
                <w:sz w:val="16"/>
                <w:szCs w:val="16"/>
              </w:rPr>
              <w:t>23,10</w:t>
            </w:r>
          </w:p>
        </w:tc>
        <w:tc>
          <w:tcPr>
            <w:tcW w:w="860" w:type="pct"/>
            <w:shd w:val="clear" w:color="auto" w:fill="FFFFFF"/>
            <w:vAlign w:val="center"/>
          </w:tcPr>
          <w:p w:rsidR="00D33E9E" w:rsidRPr="00EE74A8" w:rsidRDefault="00D33E9E" w:rsidP="00F721A6">
            <w:pPr>
              <w:pStyle w:val="DecimalAligned"/>
              <w:spacing w:after="0" w:line="240" w:lineRule="auto"/>
              <w:jc w:val="center"/>
              <w:rPr>
                <w:rFonts w:ascii="Times New Roman" w:hAnsi="Times New Roman"/>
                <w:sz w:val="16"/>
                <w:szCs w:val="16"/>
              </w:rPr>
            </w:pPr>
            <w:r w:rsidRPr="00EE74A8">
              <w:rPr>
                <w:rFonts w:ascii="Times New Roman" w:hAnsi="Times New Roman"/>
                <w:sz w:val="16"/>
                <w:szCs w:val="16"/>
              </w:rPr>
              <w:t>12,90</w:t>
            </w:r>
          </w:p>
        </w:tc>
      </w:tr>
    </w:tbl>
    <w:p w:rsidR="00D33E9E" w:rsidRPr="00D33E9E" w:rsidRDefault="00D33E9E" w:rsidP="00D33E9E">
      <w:pPr>
        <w:widowControl/>
        <w:rPr>
          <w:rFonts w:eastAsia="Times New Roman"/>
          <w:snapToGrid/>
          <w:sz w:val="18"/>
          <w:szCs w:val="18"/>
          <w:lang w:val="en"/>
        </w:rPr>
      </w:pPr>
      <w:r w:rsidRPr="00D33E9E">
        <w:rPr>
          <w:rFonts w:eastAsia="Times New Roman"/>
          <w:i/>
          <w:snapToGrid/>
          <w:sz w:val="18"/>
          <w:szCs w:val="18"/>
          <w:lang w:val="en"/>
        </w:rPr>
        <w:t>Source</w:t>
      </w:r>
      <w:r w:rsidRPr="00D33E9E">
        <w:rPr>
          <w:rFonts w:eastAsia="Times New Roman"/>
          <w:snapToGrid/>
          <w:sz w:val="18"/>
          <w:szCs w:val="18"/>
          <w:lang w:val="en"/>
        </w:rPr>
        <w:t>: Processed from PerPres No. 22/2017, EBTKE Statistics 2016, 2 Presentations of ESDM, BPPT OEI 2018 [</w:t>
      </w:r>
      <w:r w:rsidR="006342ED">
        <w:rPr>
          <w:rFonts w:eastAsia="Times New Roman"/>
          <w:snapToGrid/>
          <w:sz w:val="18"/>
          <w:szCs w:val="18"/>
          <w:lang w:val="en"/>
        </w:rPr>
        <w:t>1,</w:t>
      </w:r>
      <w:r w:rsidR="00943675">
        <w:rPr>
          <w:rFonts w:eastAsia="Times New Roman"/>
          <w:snapToGrid/>
          <w:sz w:val="18"/>
          <w:szCs w:val="18"/>
          <w:lang w:val="en"/>
        </w:rPr>
        <w:t>7,8,</w:t>
      </w:r>
      <w:r w:rsidR="006342ED">
        <w:rPr>
          <w:rFonts w:eastAsia="Times New Roman"/>
          <w:snapToGrid/>
          <w:sz w:val="18"/>
          <w:szCs w:val="18"/>
          <w:lang w:val="en"/>
        </w:rPr>
        <w:t>9</w:t>
      </w:r>
      <w:r w:rsidR="00943675">
        <w:rPr>
          <w:rFonts w:eastAsia="Times New Roman"/>
          <w:snapToGrid/>
          <w:sz w:val="18"/>
          <w:szCs w:val="18"/>
          <w:lang w:val="en"/>
        </w:rPr>
        <w:t>,10</w:t>
      </w:r>
      <w:r w:rsidR="006342ED">
        <w:rPr>
          <w:rFonts w:eastAsia="Times New Roman"/>
          <w:snapToGrid/>
          <w:sz w:val="18"/>
          <w:szCs w:val="18"/>
          <w:lang w:val="en"/>
        </w:rPr>
        <w:t>,</w:t>
      </w:r>
      <w:r w:rsidR="00943675">
        <w:rPr>
          <w:rFonts w:eastAsia="Times New Roman"/>
          <w:snapToGrid/>
          <w:sz w:val="18"/>
          <w:szCs w:val="18"/>
          <w:lang w:val="en"/>
        </w:rPr>
        <w:t>4</w:t>
      </w:r>
      <w:r w:rsidRPr="00D33E9E">
        <w:rPr>
          <w:rFonts w:eastAsia="Times New Roman"/>
          <w:snapToGrid/>
          <w:sz w:val="18"/>
          <w:szCs w:val="18"/>
          <w:lang w:val="en"/>
        </w:rPr>
        <w:t>]</w:t>
      </w:r>
      <w:r w:rsidRPr="00D33E9E">
        <w:rPr>
          <w:rFonts w:eastAsia="Times New Roman"/>
          <w:snapToGrid/>
          <w:sz w:val="18"/>
          <w:szCs w:val="18"/>
          <w:lang w:val="en"/>
        </w:rPr>
        <w:br/>
        <w:t>(*) Projections for 2017-2025 are calculated with an average growth of 0.55% (processed from [</w:t>
      </w:r>
      <w:r w:rsidR="00943675">
        <w:rPr>
          <w:rFonts w:eastAsia="Times New Roman"/>
          <w:snapToGrid/>
          <w:sz w:val="18"/>
          <w:szCs w:val="18"/>
          <w:lang w:val="en"/>
        </w:rPr>
        <w:t>7</w:t>
      </w:r>
      <w:r w:rsidR="006342ED">
        <w:rPr>
          <w:rFonts w:eastAsia="Times New Roman"/>
          <w:snapToGrid/>
          <w:sz w:val="18"/>
          <w:szCs w:val="18"/>
          <w:lang w:val="en"/>
        </w:rPr>
        <w:t>,</w:t>
      </w:r>
      <w:r w:rsidR="00943675">
        <w:rPr>
          <w:rFonts w:eastAsia="Times New Roman"/>
          <w:snapToGrid/>
          <w:sz w:val="18"/>
          <w:szCs w:val="18"/>
          <w:lang w:val="en"/>
        </w:rPr>
        <w:t>8</w:t>
      </w:r>
      <w:r w:rsidRPr="00D33E9E">
        <w:rPr>
          <w:rFonts w:eastAsia="Times New Roman"/>
          <w:snapToGrid/>
          <w:sz w:val="18"/>
          <w:szCs w:val="18"/>
          <w:lang w:val="en"/>
        </w:rPr>
        <w:t>]</w:t>
      </w:r>
      <w:r w:rsidR="006342ED">
        <w:rPr>
          <w:rFonts w:eastAsia="Times New Roman"/>
          <w:snapToGrid/>
          <w:sz w:val="18"/>
          <w:szCs w:val="18"/>
          <w:lang w:val="en"/>
        </w:rPr>
        <w:t>.</w:t>
      </w:r>
    </w:p>
    <w:p w:rsidR="00500E1D" w:rsidRPr="00D33E9E" w:rsidRDefault="00500E1D" w:rsidP="00500E1D">
      <w:pPr>
        <w:pStyle w:val="FootnoteText"/>
        <w:ind w:left="450"/>
        <w:rPr>
          <w:rStyle w:val="tlid-translation"/>
          <w:sz w:val="18"/>
          <w:szCs w:val="18"/>
        </w:rPr>
      </w:pPr>
    </w:p>
    <w:p w:rsidR="00D554AC" w:rsidRDefault="00D33E9E" w:rsidP="004A084B">
      <w:pPr>
        <w:widowControl/>
        <w:jc w:val="both"/>
        <w:rPr>
          <w:rFonts w:eastAsia="Times New Roman"/>
          <w:snapToGrid/>
          <w:sz w:val="18"/>
          <w:szCs w:val="18"/>
          <w:lang w:val="en"/>
        </w:rPr>
      </w:pPr>
      <w:r w:rsidRPr="00D33E9E">
        <w:rPr>
          <w:rFonts w:eastAsia="Times New Roman"/>
          <w:snapToGrid/>
          <w:sz w:val="18"/>
          <w:szCs w:val="18"/>
          <w:lang w:val="en"/>
        </w:rPr>
        <w:t xml:space="preserve">By paying attention to the availability of </w:t>
      </w:r>
      <w:r w:rsidR="006342ED">
        <w:rPr>
          <w:rFonts w:eastAsia="Times New Roman"/>
          <w:snapToGrid/>
          <w:sz w:val="18"/>
          <w:szCs w:val="18"/>
          <w:lang w:val="en"/>
        </w:rPr>
        <w:t>RE</w:t>
      </w:r>
      <w:r w:rsidRPr="00D33E9E">
        <w:rPr>
          <w:rFonts w:eastAsia="Times New Roman"/>
          <w:snapToGrid/>
          <w:sz w:val="18"/>
          <w:szCs w:val="18"/>
          <w:lang w:val="en"/>
        </w:rPr>
        <w:t>-based primary energy in Indonesia</w:t>
      </w:r>
      <w:r w:rsidR="006342ED">
        <w:rPr>
          <w:rFonts w:eastAsia="Times New Roman"/>
          <w:snapToGrid/>
          <w:sz w:val="18"/>
          <w:szCs w:val="18"/>
          <w:lang w:val="en"/>
        </w:rPr>
        <w:t xml:space="preserve"> </w:t>
      </w:r>
      <w:r w:rsidRPr="00D33E9E">
        <w:rPr>
          <w:rFonts w:eastAsia="Times New Roman"/>
          <w:snapToGrid/>
          <w:sz w:val="18"/>
          <w:szCs w:val="18"/>
          <w:lang w:val="en"/>
        </w:rPr>
        <w:t>[1], the potential is varied and quite large. The primary energy available consists of geothermal, hydropower, mini</w:t>
      </w:r>
      <w:r w:rsidR="00060E3E">
        <w:rPr>
          <w:rFonts w:eastAsia="Times New Roman"/>
          <w:snapToGrid/>
          <w:sz w:val="18"/>
          <w:szCs w:val="18"/>
          <w:lang w:val="en"/>
        </w:rPr>
        <w:t xml:space="preserve"> </w:t>
      </w:r>
      <w:r w:rsidRPr="00D33E9E">
        <w:rPr>
          <w:rFonts w:eastAsia="Times New Roman"/>
          <w:snapToGrid/>
          <w:sz w:val="18"/>
          <w:szCs w:val="18"/>
          <w:lang w:val="en"/>
        </w:rPr>
        <w:t xml:space="preserve">hydro </w:t>
      </w:r>
      <w:r w:rsidR="00060E3E">
        <w:rPr>
          <w:rFonts w:eastAsia="Times New Roman"/>
          <w:snapToGrid/>
          <w:sz w:val="18"/>
          <w:szCs w:val="18"/>
          <w:lang w:val="en"/>
        </w:rPr>
        <w:t xml:space="preserve">&amp; micro hydro, bioenergy, solar/ sunlight, wind </w:t>
      </w:r>
      <w:r w:rsidRPr="00D33E9E">
        <w:rPr>
          <w:rFonts w:eastAsia="Times New Roman"/>
          <w:snapToGrid/>
          <w:sz w:val="18"/>
          <w:szCs w:val="18"/>
          <w:lang w:val="en"/>
        </w:rPr>
        <w:t xml:space="preserve">and movement &amp; temperature differences in the sea layers. Overall in Indonesia there is potential </w:t>
      </w:r>
      <w:r w:rsidR="006342ED">
        <w:rPr>
          <w:rFonts w:eastAsia="Times New Roman"/>
          <w:snapToGrid/>
          <w:sz w:val="18"/>
          <w:szCs w:val="18"/>
          <w:lang w:val="en"/>
        </w:rPr>
        <w:t>RE</w:t>
      </w:r>
      <w:r w:rsidRPr="00D33E9E">
        <w:rPr>
          <w:rFonts w:eastAsia="Times New Roman"/>
          <w:snapToGrid/>
          <w:sz w:val="18"/>
          <w:szCs w:val="18"/>
          <w:lang w:val="en"/>
        </w:rPr>
        <w:t xml:space="preserve"> with power equivalent to 420,029.4 MW with total bioenergy equiv</w:t>
      </w:r>
      <w:r w:rsidR="00BB7732">
        <w:rPr>
          <w:rFonts w:eastAsia="Times New Roman"/>
          <w:snapToGrid/>
          <w:sz w:val="18"/>
          <w:szCs w:val="18"/>
          <w:lang w:val="en"/>
        </w:rPr>
        <w:t>alent to 32,654.4 MW.</w:t>
      </w:r>
      <w:r w:rsidR="00BB7732">
        <w:rPr>
          <w:rFonts w:eastAsia="Times New Roman"/>
          <w:snapToGrid/>
          <w:sz w:val="18"/>
          <w:szCs w:val="18"/>
          <w:lang w:val="en"/>
        </w:rPr>
        <w:br/>
      </w:r>
      <w:r w:rsidRPr="00D33E9E">
        <w:rPr>
          <w:rFonts w:eastAsia="Times New Roman"/>
          <w:snapToGrid/>
          <w:sz w:val="18"/>
          <w:szCs w:val="18"/>
          <w:lang w:val="en"/>
        </w:rPr>
        <w:t xml:space="preserve">The use of biomass and biogas by the population will contribute in achieving the target of using </w:t>
      </w:r>
      <w:r w:rsidR="006342ED">
        <w:rPr>
          <w:rFonts w:eastAsia="Times New Roman"/>
          <w:snapToGrid/>
          <w:sz w:val="18"/>
          <w:szCs w:val="18"/>
          <w:lang w:val="en"/>
        </w:rPr>
        <w:t>NRE</w:t>
      </w:r>
      <w:r w:rsidRPr="00D33E9E">
        <w:rPr>
          <w:rFonts w:eastAsia="Times New Roman"/>
          <w:snapToGrid/>
          <w:sz w:val="18"/>
          <w:szCs w:val="18"/>
          <w:lang w:val="en"/>
        </w:rPr>
        <w:t xml:space="preserve"> in the primary energy mix. For this reason, it is necessary to conduct research on the significant impact of the influence of population behavior on the use of renewable energy (</w:t>
      </w:r>
      <w:r w:rsidR="006342ED">
        <w:rPr>
          <w:rFonts w:eastAsia="Times New Roman"/>
          <w:snapToGrid/>
          <w:sz w:val="18"/>
          <w:szCs w:val="18"/>
          <w:lang w:val="en"/>
        </w:rPr>
        <w:t>RE</w:t>
      </w:r>
      <w:r w:rsidRPr="00D33E9E">
        <w:rPr>
          <w:rFonts w:eastAsia="Times New Roman"/>
          <w:snapToGrid/>
          <w:sz w:val="18"/>
          <w:szCs w:val="18"/>
          <w:lang w:val="en"/>
        </w:rPr>
        <w:t xml:space="preserve">). The use of </w:t>
      </w:r>
      <w:r w:rsidR="006342ED">
        <w:rPr>
          <w:rFonts w:eastAsia="Times New Roman"/>
          <w:snapToGrid/>
          <w:sz w:val="18"/>
          <w:szCs w:val="18"/>
          <w:lang w:val="en"/>
        </w:rPr>
        <w:t>RE</w:t>
      </w:r>
      <w:r w:rsidRPr="00D33E9E">
        <w:rPr>
          <w:rFonts w:eastAsia="Times New Roman"/>
          <w:snapToGrid/>
          <w:sz w:val="18"/>
          <w:szCs w:val="18"/>
          <w:lang w:val="en"/>
        </w:rPr>
        <w:t xml:space="preserve"> by the population in their daily lives is biomass and biogas. The achievement of the use of </w:t>
      </w:r>
      <w:r w:rsidR="006342ED">
        <w:rPr>
          <w:rFonts w:eastAsia="Times New Roman"/>
          <w:snapToGrid/>
          <w:sz w:val="18"/>
          <w:szCs w:val="18"/>
          <w:lang w:val="en"/>
        </w:rPr>
        <w:t>RE</w:t>
      </w:r>
      <w:r w:rsidRPr="00D33E9E">
        <w:rPr>
          <w:rFonts w:eastAsia="Times New Roman"/>
          <w:snapToGrid/>
          <w:sz w:val="18"/>
          <w:szCs w:val="18"/>
          <w:lang w:val="en"/>
        </w:rPr>
        <w:t xml:space="preserve"> by the population independently does not require</w:t>
      </w:r>
      <w:r w:rsidR="00D6788D">
        <w:rPr>
          <w:rFonts w:eastAsia="Times New Roman"/>
          <w:snapToGrid/>
          <w:sz w:val="18"/>
          <w:szCs w:val="18"/>
          <w:lang w:val="en"/>
        </w:rPr>
        <w:t xml:space="preserve"> as much cost as is required in: (a) the use of B20 biodiesel and gradually increased the percentage of FAME (oil palm) to B100 </w:t>
      </w:r>
      <w:r w:rsidR="00FA6113">
        <w:rPr>
          <w:rFonts w:eastAsia="Times New Roman"/>
          <w:snapToGrid/>
          <w:sz w:val="18"/>
          <w:szCs w:val="18"/>
          <w:lang w:val="en"/>
        </w:rPr>
        <w:t>[</w:t>
      </w:r>
      <w:r w:rsidR="00943675">
        <w:rPr>
          <w:rFonts w:eastAsia="Times New Roman"/>
          <w:snapToGrid/>
          <w:sz w:val="18"/>
          <w:szCs w:val="18"/>
          <w:lang w:val="en"/>
        </w:rPr>
        <w:t>8</w:t>
      </w:r>
      <w:r w:rsidR="00FA6113">
        <w:rPr>
          <w:rFonts w:eastAsia="Times New Roman"/>
          <w:snapToGrid/>
          <w:sz w:val="18"/>
          <w:szCs w:val="18"/>
          <w:lang w:val="en"/>
        </w:rPr>
        <w:t>,1</w:t>
      </w:r>
      <w:r w:rsidR="00943675">
        <w:rPr>
          <w:rFonts w:eastAsia="Times New Roman"/>
          <w:snapToGrid/>
          <w:sz w:val="18"/>
          <w:szCs w:val="18"/>
          <w:lang w:val="en"/>
        </w:rPr>
        <w:t>1</w:t>
      </w:r>
      <w:r w:rsidR="00FA6113">
        <w:rPr>
          <w:rFonts w:eastAsia="Times New Roman"/>
          <w:snapToGrid/>
          <w:sz w:val="18"/>
          <w:szCs w:val="18"/>
          <w:lang w:val="en"/>
        </w:rPr>
        <w:t>]</w:t>
      </w:r>
      <w:r w:rsidR="00D6788D">
        <w:rPr>
          <w:rFonts w:eastAsia="Times New Roman"/>
          <w:snapToGrid/>
          <w:sz w:val="18"/>
          <w:szCs w:val="18"/>
          <w:lang w:val="en"/>
        </w:rPr>
        <w:t>, (b) access to lighting with energy-efficient solar lamps (LTSHE)</w:t>
      </w:r>
      <w:r w:rsidR="00FA6113">
        <w:rPr>
          <w:rFonts w:eastAsia="Times New Roman"/>
          <w:snapToGrid/>
          <w:sz w:val="18"/>
          <w:szCs w:val="18"/>
          <w:lang w:val="en"/>
        </w:rPr>
        <w:t xml:space="preserve"> [</w:t>
      </w:r>
      <w:r w:rsidR="00943675">
        <w:rPr>
          <w:rFonts w:eastAsia="Times New Roman"/>
          <w:snapToGrid/>
          <w:sz w:val="18"/>
          <w:szCs w:val="18"/>
          <w:lang w:val="en"/>
        </w:rPr>
        <w:t>8</w:t>
      </w:r>
      <w:r w:rsidR="00FA6113">
        <w:rPr>
          <w:rFonts w:eastAsia="Times New Roman"/>
          <w:snapToGrid/>
          <w:sz w:val="18"/>
          <w:szCs w:val="18"/>
          <w:lang w:val="en"/>
        </w:rPr>
        <w:t>]</w:t>
      </w:r>
      <w:r w:rsidRPr="00D33E9E">
        <w:rPr>
          <w:rFonts w:eastAsia="Times New Roman"/>
          <w:snapToGrid/>
          <w:sz w:val="18"/>
          <w:szCs w:val="18"/>
          <w:lang w:val="en"/>
        </w:rPr>
        <w:t xml:space="preserve">.  </w:t>
      </w:r>
      <w:r w:rsidR="00D6788D">
        <w:rPr>
          <w:rFonts w:eastAsia="Times New Roman"/>
          <w:snapToGrid/>
          <w:sz w:val="18"/>
          <w:szCs w:val="18"/>
          <w:lang w:val="en"/>
        </w:rPr>
        <w:t>T</w:t>
      </w:r>
      <w:r w:rsidRPr="00D33E9E">
        <w:rPr>
          <w:rFonts w:eastAsia="Times New Roman"/>
          <w:snapToGrid/>
          <w:sz w:val="18"/>
          <w:szCs w:val="18"/>
          <w:lang w:val="en"/>
        </w:rPr>
        <w:t xml:space="preserve">he potential of </w:t>
      </w:r>
      <w:r w:rsidR="00D6788D">
        <w:rPr>
          <w:rFonts w:eastAsia="Times New Roman"/>
          <w:snapToGrid/>
          <w:sz w:val="18"/>
          <w:szCs w:val="18"/>
          <w:lang w:val="en"/>
        </w:rPr>
        <w:t>RE</w:t>
      </w:r>
      <w:r w:rsidRPr="00D33E9E">
        <w:rPr>
          <w:rFonts w:eastAsia="Times New Roman"/>
          <w:snapToGrid/>
          <w:sz w:val="18"/>
          <w:szCs w:val="18"/>
          <w:lang w:val="en"/>
        </w:rPr>
        <w:t xml:space="preserve"> in West Java is the most comprehensive and the largest in Indonesia, namely 28,235.1 MW including bioenergy at 2,554.1 MW</w:t>
      </w:r>
      <w:r w:rsidR="00D6788D">
        <w:rPr>
          <w:rFonts w:eastAsia="Times New Roman"/>
          <w:snapToGrid/>
          <w:sz w:val="18"/>
          <w:szCs w:val="18"/>
          <w:lang w:val="en"/>
        </w:rPr>
        <w:t xml:space="preserve"> [1]</w:t>
      </w:r>
      <w:r w:rsidRPr="00D33E9E">
        <w:rPr>
          <w:rFonts w:eastAsia="Times New Roman"/>
          <w:snapToGrid/>
          <w:sz w:val="18"/>
          <w:szCs w:val="18"/>
          <w:lang w:val="en"/>
        </w:rPr>
        <w:t xml:space="preserve">. Its area covers 27 </w:t>
      </w:r>
      <w:r w:rsidR="00D6788D">
        <w:rPr>
          <w:rFonts w:eastAsia="Times New Roman"/>
          <w:snapToGrid/>
          <w:sz w:val="18"/>
          <w:szCs w:val="18"/>
          <w:lang w:val="en"/>
        </w:rPr>
        <w:t>regencies/</w:t>
      </w:r>
      <w:r w:rsidRPr="00D33E9E">
        <w:rPr>
          <w:rFonts w:eastAsia="Times New Roman"/>
          <w:snapToGrid/>
          <w:sz w:val="18"/>
          <w:szCs w:val="18"/>
          <w:lang w:val="en"/>
        </w:rPr>
        <w:t>cities [</w:t>
      </w:r>
      <w:r w:rsidR="002F2631">
        <w:rPr>
          <w:rFonts w:eastAsia="Times New Roman"/>
          <w:snapToGrid/>
          <w:sz w:val="18"/>
          <w:szCs w:val="18"/>
          <w:lang w:val="en"/>
        </w:rPr>
        <w:t>1</w:t>
      </w:r>
      <w:r w:rsidR="00943675">
        <w:rPr>
          <w:rFonts w:eastAsia="Times New Roman"/>
          <w:snapToGrid/>
          <w:sz w:val="18"/>
          <w:szCs w:val="18"/>
          <w:lang w:val="en"/>
        </w:rPr>
        <w:t>2</w:t>
      </w:r>
      <w:r w:rsidRPr="00D33E9E">
        <w:rPr>
          <w:rFonts w:eastAsia="Times New Roman"/>
          <w:snapToGrid/>
          <w:sz w:val="18"/>
          <w:szCs w:val="18"/>
          <w:lang w:val="en"/>
        </w:rPr>
        <w:t>].</w:t>
      </w:r>
    </w:p>
    <w:p w:rsidR="000100E1" w:rsidRDefault="00D33E9E" w:rsidP="004A084B">
      <w:pPr>
        <w:widowControl/>
        <w:jc w:val="both"/>
        <w:rPr>
          <w:rFonts w:eastAsia="Times New Roman"/>
          <w:snapToGrid/>
          <w:sz w:val="18"/>
          <w:szCs w:val="18"/>
          <w:lang w:val="en"/>
        </w:rPr>
      </w:pPr>
      <w:r w:rsidRPr="00D33E9E">
        <w:rPr>
          <w:rFonts w:eastAsia="Times New Roman"/>
          <w:snapToGrid/>
          <w:sz w:val="18"/>
          <w:szCs w:val="18"/>
          <w:lang w:val="en"/>
        </w:rPr>
        <w:t>Sumedang Regency was chosen for the following reasons:</w:t>
      </w:r>
    </w:p>
    <w:p w:rsidR="000100E1" w:rsidRDefault="00D33E9E" w:rsidP="000100E1">
      <w:pPr>
        <w:widowControl/>
        <w:tabs>
          <w:tab w:val="left" w:pos="168"/>
        </w:tabs>
        <w:ind w:left="168" w:hanging="168"/>
        <w:jc w:val="both"/>
        <w:rPr>
          <w:rFonts w:eastAsia="Times New Roman"/>
          <w:snapToGrid/>
          <w:sz w:val="18"/>
          <w:szCs w:val="18"/>
          <w:lang w:val="en"/>
        </w:rPr>
      </w:pPr>
      <w:r w:rsidRPr="00D33E9E">
        <w:rPr>
          <w:rFonts w:eastAsia="Times New Roman"/>
          <w:snapToGrid/>
          <w:sz w:val="18"/>
          <w:szCs w:val="18"/>
          <w:lang w:val="en"/>
        </w:rPr>
        <w:t xml:space="preserve">a. It is estimated that some of the population uses primary energy </w:t>
      </w:r>
      <w:r w:rsidR="00D6788D">
        <w:rPr>
          <w:rFonts w:eastAsia="Times New Roman"/>
          <w:snapToGrid/>
          <w:sz w:val="18"/>
          <w:szCs w:val="18"/>
          <w:lang w:val="en"/>
        </w:rPr>
        <w:t>RE</w:t>
      </w:r>
      <w:r w:rsidRPr="00D33E9E">
        <w:rPr>
          <w:rFonts w:eastAsia="Times New Roman"/>
          <w:snapToGrid/>
          <w:sz w:val="18"/>
          <w:szCs w:val="18"/>
          <w:lang w:val="en"/>
        </w:rPr>
        <w:t xml:space="preserve"> with the availability of fuel</w:t>
      </w:r>
      <w:r w:rsidRPr="00D33E9E">
        <w:rPr>
          <w:rFonts w:eastAsia="Times New Roman"/>
          <w:snapToGrid/>
          <w:sz w:val="24"/>
          <w:szCs w:val="24"/>
          <w:lang w:val="en"/>
        </w:rPr>
        <w:t xml:space="preserve"> </w:t>
      </w:r>
      <w:r w:rsidRPr="00D33E9E">
        <w:rPr>
          <w:rFonts w:eastAsia="Times New Roman"/>
          <w:snapToGrid/>
          <w:sz w:val="18"/>
          <w:szCs w:val="18"/>
          <w:lang w:val="en"/>
        </w:rPr>
        <w:t>wood, rice husks, sawdust, charcoal, biomass briquettes, dairy farming centers, beef cattle, buffaloes, horses, goats, sheep and poultry and tofu industry centers [</w:t>
      </w:r>
      <w:r w:rsidR="002F2631">
        <w:rPr>
          <w:rFonts w:eastAsia="Times New Roman"/>
          <w:snapToGrid/>
          <w:sz w:val="18"/>
          <w:szCs w:val="18"/>
          <w:lang w:val="en"/>
        </w:rPr>
        <w:t>1</w:t>
      </w:r>
      <w:r w:rsidR="00943675">
        <w:rPr>
          <w:rFonts w:eastAsia="Times New Roman"/>
          <w:snapToGrid/>
          <w:sz w:val="18"/>
          <w:szCs w:val="18"/>
          <w:lang w:val="en"/>
        </w:rPr>
        <w:t>3</w:t>
      </w:r>
      <w:r w:rsidRPr="00D33E9E">
        <w:rPr>
          <w:rFonts w:eastAsia="Times New Roman"/>
          <w:snapToGrid/>
          <w:sz w:val="18"/>
          <w:szCs w:val="18"/>
          <w:lang w:val="en"/>
        </w:rPr>
        <w:t xml:space="preserve"> , </w:t>
      </w:r>
      <w:r w:rsidR="00943675">
        <w:rPr>
          <w:rFonts w:eastAsia="Times New Roman"/>
          <w:snapToGrid/>
          <w:sz w:val="18"/>
          <w:szCs w:val="18"/>
          <w:lang w:val="en"/>
        </w:rPr>
        <w:t>14</w:t>
      </w:r>
      <w:r w:rsidRPr="00D33E9E">
        <w:rPr>
          <w:rFonts w:eastAsia="Times New Roman"/>
          <w:snapToGrid/>
          <w:sz w:val="18"/>
          <w:szCs w:val="18"/>
          <w:lang w:val="en"/>
        </w:rPr>
        <w:t>,</w:t>
      </w:r>
      <w:r w:rsidR="002F2631">
        <w:rPr>
          <w:rFonts w:eastAsia="Times New Roman"/>
          <w:snapToGrid/>
          <w:sz w:val="18"/>
          <w:szCs w:val="18"/>
          <w:lang w:val="en"/>
        </w:rPr>
        <w:t>1</w:t>
      </w:r>
      <w:r w:rsidR="00943675">
        <w:rPr>
          <w:rFonts w:eastAsia="Times New Roman"/>
          <w:snapToGrid/>
          <w:sz w:val="18"/>
          <w:szCs w:val="18"/>
          <w:lang w:val="en"/>
        </w:rPr>
        <w:t>5</w:t>
      </w:r>
      <w:r w:rsidRPr="00D33E9E">
        <w:rPr>
          <w:rFonts w:eastAsia="Times New Roman"/>
          <w:snapToGrid/>
          <w:sz w:val="18"/>
          <w:szCs w:val="18"/>
          <w:lang w:val="en"/>
        </w:rPr>
        <w:t>,</w:t>
      </w:r>
      <w:r w:rsidR="002F2631">
        <w:rPr>
          <w:rFonts w:eastAsia="Times New Roman"/>
          <w:snapToGrid/>
          <w:sz w:val="18"/>
          <w:szCs w:val="18"/>
          <w:lang w:val="en"/>
        </w:rPr>
        <w:t>1</w:t>
      </w:r>
      <w:r w:rsidR="00943675">
        <w:rPr>
          <w:rFonts w:eastAsia="Times New Roman"/>
          <w:snapToGrid/>
          <w:sz w:val="18"/>
          <w:szCs w:val="18"/>
          <w:lang w:val="en"/>
        </w:rPr>
        <w:t>6</w:t>
      </w:r>
      <w:r w:rsidRPr="00D33E9E">
        <w:rPr>
          <w:rFonts w:eastAsia="Times New Roman"/>
          <w:snapToGrid/>
          <w:sz w:val="18"/>
          <w:szCs w:val="18"/>
          <w:lang w:val="en"/>
        </w:rPr>
        <w:t>,</w:t>
      </w:r>
      <w:r w:rsidR="00943675">
        <w:rPr>
          <w:rFonts w:eastAsia="Times New Roman"/>
          <w:snapToGrid/>
          <w:sz w:val="18"/>
          <w:szCs w:val="18"/>
          <w:lang w:val="en"/>
        </w:rPr>
        <w:t>17</w:t>
      </w:r>
      <w:r w:rsidRPr="00D33E9E">
        <w:rPr>
          <w:rFonts w:eastAsia="Times New Roman"/>
          <w:snapToGrid/>
          <w:sz w:val="18"/>
          <w:szCs w:val="18"/>
          <w:lang w:val="en"/>
        </w:rPr>
        <w:t>,</w:t>
      </w:r>
      <w:r w:rsidR="002F2631">
        <w:rPr>
          <w:rFonts w:eastAsia="Times New Roman"/>
          <w:snapToGrid/>
          <w:sz w:val="18"/>
          <w:szCs w:val="18"/>
          <w:lang w:val="en"/>
        </w:rPr>
        <w:t>1</w:t>
      </w:r>
      <w:r w:rsidR="00943675">
        <w:rPr>
          <w:rFonts w:eastAsia="Times New Roman"/>
          <w:snapToGrid/>
          <w:sz w:val="18"/>
          <w:szCs w:val="18"/>
          <w:lang w:val="en"/>
        </w:rPr>
        <w:t>8</w:t>
      </w:r>
      <w:r w:rsidRPr="00D33E9E">
        <w:rPr>
          <w:rFonts w:eastAsia="Times New Roman"/>
          <w:snapToGrid/>
          <w:sz w:val="18"/>
          <w:szCs w:val="18"/>
          <w:lang w:val="en"/>
        </w:rPr>
        <w:t>,</w:t>
      </w:r>
      <w:r w:rsidR="002F2631">
        <w:rPr>
          <w:rFonts w:eastAsia="Times New Roman"/>
          <w:snapToGrid/>
          <w:sz w:val="18"/>
          <w:szCs w:val="18"/>
          <w:lang w:val="en"/>
        </w:rPr>
        <w:t>1</w:t>
      </w:r>
      <w:r w:rsidR="00943675">
        <w:rPr>
          <w:rFonts w:eastAsia="Times New Roman"/>
          <w:snapToGrid/>
          <w:sz w:val="18"/>
          <w:szCs w:val="18"/>
          <w:lang w:val="en"/>
        </w:rPr>
        <w:t>9</w:t>
      </w:r>
      <w:r w:rsidRPr="00D33E9E">
        <w:rPr>
          <w:rFonts w:eastAsia="Times New Roman"/>
          <w:snapToGrid/>
          <w:sz w:val="18"/>
          <w:szCs w:val="18"/>
          <w:lang w:val="en"/>
        </w:rPr>
        <w:t>,</w:t>
      </w:r>
      <w:r w:rsidR="00943675">
        <w:rPr>
          <w:rFonts w:eastAsia="Times New Roman"/>
          <w:snapToGrid/>
          <w:sz w:val="18"/>
          <w:szCs w:val="18"/>
          <w:lang w:val="en"/>
        </w:rPr>
        <w:t>20</w:t>
      </w:r>
      <w:r w:rsidRPr="00D33E9E">
        <w:rPr>
          <w:rFonts w:eastAsia="Times New Roman"/>
          <w:snapToGrid/>
          <w:sz w:val="18"/>
          <w:szCs w:val="18"/>
          <w:lang w:val="en"/>
        </w:rPr>
        <w:t>,</w:t>
      </w:r>
      <w:r w:rsidR="00943675">
        <w:rPr>
          <w:rFonts w:eastAsia="Times New Roman"/>
          <w:snapToGrid/>
          <w:sz w:val="18"/>
          <w:szCs w:val="18"/>
          <w:lang w:val="en"/>
        </w:rPr>
        <w:t>2</w:t>
      </w:r>
      <w:r w:rsidR="00707D0F">
        <w:rPr>
          <w:rFonts w:eastAsia="Times New Roman"/>
          <w:snapToGrid/>
          <w:sz w:val="18"/>
          <w:szCs w:val="18"/>
          <w:lang w:val="en"/>
        </w:rPr>
        <w:t>1</w:t>
      </w:r>
      <w:r w:rsidRPr="00D33E9E">
        <w:rPr>
          <w:rFonts w:eastAsia="Times New Roman"/>
          <w:snapToGrid/>
          <w:sz w:val="18"/>
          <w:szCs w:val="18"/>
          <w:lang w:val="en"/>
        </w:rPr>
        <w:t>,</w:t>
      </w:r>
      <w:r w:rsidR="00707D0F">
        <w:rPr>
          <w:rFonts w:eastAsia="Times New Roman"/>
          <w:snapToGrid/>
          <w:sz w:val="18"/>
          <w:szCs w:val="18"/>
          <w:lang w:val="en"/>
        </w:rPr>
        <w:t>2</w:t>
      </w:r>
      <w:r w:rsidR="00943675">
        <w:rPr>
          <w:rFonts w:eastAsia="Times New Roman"/>
          <w:snapToGrid/>
          <w:sz w:val="18"/>
          <w:szCs w:val="18"/>
          <w:lang w:val="en"/>
        </w:rPr>
        <w:t>2</w:t>
      </w:r>
      <w:r w:rsidRPr="00D33E9E">
        <w:rPr>
          <w:rFonts w:eastAsia="Times New Roman"/>
          <w:snapToGrid/>
          <w:sz w:val="18"/>
          <w:szCs w:val="18"/>
          <w:lang w:val="en"/>
        </w:rPr>
        <w:t>];</w:t>
      </w:r>
    </w:p>
    <w:p w:rsidR="000100E1" w:rsidRDefault="00D33E9E" w:rsidP="000100E1">
      <w:pPr>
        <w:widowControl/>
        <w:tabs>
          <w:tab w:val="left" w:pos="168"/>
        </w:tabs>
        <w:ind w:left="168" w:hanging="168"/>
        <w:jc w:val="both"/>
        <w:rPr>
          <w:rFonts w:eastAsia="Times New Roman"/>
          <w:snapToGrid/>
          <w:sz w:val="18"/>
          <w:szCs w:val="18"/>
          <w:lang w:val="en"/>
        </w:rPr>
      </w:pPr>
      <w:r w:rsidRPr="00D33E9E">
        <w:rPr>
          <w:rFonts w:eastAsia="Times New Roman"/>
          <w:snapToGrid/>
          <w:sz w:val="18"/>
          <w:szCs w:val="18"/>
          <w:lang w:val="en"/>
        </w:rPr>
        <w:t>b.</w:t>
      </w:r>
      <w:r w:rsidR="000100E1">
        <w:rPr>
          <w:rFonts w:eastAsia="Times New Roman"/>
          <w:snapToGrid/>
          <w:sz w:val="18"/>
          <w:szCs w:val="18"/>
          <w:lang w:val="en"/>
        </w:rPr>
        <w:tab/>
      </w:r>
      <w:r w:rsidRPr="00D33E9E">
        <w:rPr>
          <w:rFonts w:eastAsia="Times New Roman"/>
          <w:snapToGrid/>
          <w:sz w:val="18"/>
          <w:szCs w:val="18"/>
          <w:lang w:val="en"/>
        </w:rPr>
        <w:t>The Sumedang Regional Government Strategy to increase energy independence and water sufficiency [</w:t>
      </w:r>
      <w:r w:rsidR="00707D0F">
        <w:rPr>
          <w:rFonts w:eastAsia="Times New Roman"/>
          <w:snapToGrid/>
          <w:sz w:val="18"/>
          <w:szCs w:val="18"/>
          <w:lang w:val="en"/>
        </w:rPr>
        <w:t>2</w:t>
      </w:r>
      <w:r w:rsidR="00943675">
        <w:rPr>
          <w:rFonts w:eastAsia="Times New Roman"/>
          <w:snapToGrid/>
          <w:sz w:val="18"/>
          <w:szCs w:val="18"/>
          <w:lang w:val="en"/>
        </w:rPr>
        <w:t>3</w:t>
      </w:r>
      <w:r w:rsidRPr="00D33E9E">
        <w:rPr>
          <w:rFonts w:eastAsia="Times New Roman"/>
          <w:snapToGrid/>
          <w:sz w:val="18"/>
          <w:szCs w:val="18"/>
          <w:lang w:val="en"/>
        </w:rPr>
        <w:t>]; and</w:t>
      </w:r>
    </w:p>
    <w:p w:rsidR="00D33E9E" w:rsidRPr="006441C1" w:rsidRDefault="00D33E9E" w:rsidP="000100E1">
      <w:pPr>
        <w:widowControl/>
        <w:tabs>
          <w:tab w:val="left" w:pos="168"/>
        </w:tabs>
        <w:ind w:left="168" w:hanging="168"/>
        <w:jc w:val="both"/>
        <w:rPr>
          <w:rFonts w:eastAsia="Times New Roman"/>
          <w:snapToGrid/>
          <w:sz w:val="18"/>
          <w:szCs w:val="18"/>
          <w:lang w:val="en"/>
        </w:rPr>
      </w:pPr>
      <w:r w:rsidRPr="006441C1">
        <w:rPr>
          <w:rFonts w:eastAsia="Times New Roman"/>
          <w:snapToGrid/>
          <w:sz w:val="18"/>
          <w:szCs w:val="18"/>
          <w:lang w:val="en"/>
        </w:rPr>
        <w:t>c. Policy targets for developing energy creation and utilization [</w:t>
      </w:r>
      <w:r w:rsidR="00707D0F" w:rsidRPr="006441C1">
        <w:rPr>
          <w:rFonts w:eastAsia="Times New Roman"/>
          <w:snapToGrid/>
          <w:sz w:val="18"/>
          <w:szCs w:val="18"/>
          <w:lang w:val="en"/>
        </w:rPr>
        <w:t>2</w:t>
      </w:r>
      <w:r w:rsidR="00943675">
        <w:rPr>
          <w:rFonts w:eastAsia="Times New Roman"/>
          <w:snapToGrid/>
          <w:sz w:val="18"/>
          <w:szCs w:val="18"/>
          <w:lang w:val="en"/>
        </w:rPr>
        <w:t>3</w:t>
      </w:r>
      <w:r w:rsidRPr="006441C1">
        <w:rPr>
          <w:rFonts w:eastAsia="Times New Roman"/>
          <w:snapToGrid/>
          <w:sz w:val="18"/>
          <w:szCs w:val="18"/>
          <w:lang w:val="en"/>
        </w:rPr>
        <w:t>].</w:t>
      </w:r>
    </w:p>
    <w:p w:rsidR="00D554AC" w:rsidRDefault="00D33E9E" w:rsidP="00D554AC">
      <w:pPr>
        <w:widowControl/>
        <w:jc w:val="both"/>
        <w:rPr>
          <w:rFonts w:eastAsia="Times New Roman"/>
          <w:snapToGrid/>
          <w:sz w:val="18"/>
          <w:szCs w:val="18"/>
          <w:lang w:val="en"/>
        </w:rPr>
      </w:pPr>
      <w:r w:rsidRPr="006441C1">
        <w:rPr>
          <w:rFonts w:eastAsia="Times New Roman"/>
          <w:snapToGrid/>
          <w:sz w:val="18"/>
          <w:szCs w:val="18"/>
          <w:lang w:val="en"/>
        </w:rPr>
        <w:t>According to the 2017 West Java Provincial Housing Statistics, the use of fuel wood, charcoal and other solid fuels in rural areas is 27.20% and in cities is 4.32% with an average city and rural area of ​​11.17% [</w:t>
      </w:r>
      <w:r w:rsidR="00707D0F" w:rsidRPr="006441C1">
        <w:rPr>
          <w:rFonts w:eastAsia="Times New Roman"/>
          <w:snapToGrid/>
          <w:sz w:val="18"/>
          <w:szCs w:val="18"/>
          <w:lang w:val="en"/>
        </w:rPr>
        <w:t>1</w:t>
      </w:r>
      <w:r w:rsidR="00943675">
        <w:rPr>
          <w:rFonts w:eastAsia="Times New Roman"/>
          <w:snapToGrid/>
          <w:sz w:val="18"/>
          <w:szCs w:val="18"/>
          <w:lang w:val="en"/>
        </w:rPr>
        <w:t>3</w:t>
      </w:r>
      <w:r w:rsidR="00707D0F" w:rsidRPr="006441C1">
        <w:rPr>
          <w:rFonts w:eastAsia="Times New Roman"/>
          <w:snapToGrid/>
          <w:sz w:val="18"/>
          <w:szCs w:val="18"/>
          <w:lang w:val="en"/>
        </w:rPr>
        <w:t>,1</w:t>
      </w:r>
      <w:r w:rsidR="00943675">
        <w:rPr>
          <w:rFonts w:eastAsia="Times New Roman"/>
          <w:snapToGrid/>
          <w:sz w:val="18"/>
          <w:szCs w:val="18"/>
          <w:lang w:val="en"/>
        </w:rPr>
        <w:t>4</w:t>
      </w:r>
      <w:r w:rsidRPr="006441C1">
        <w:rPr>
          <w:rFonts w:eastAsia="Times New Roman"/>
          <w:snapToGrid/>
          <w:sz w:val="18"/>
          <w:szCs w:val="18"/>
          <w:lang w:val="en"/>
        </w:rPr>
        <w:t>] . This percentage is categorized quite high [</w:t>
      </w:r>
      <w:r w:rsidR="00707D0F" w:rsidRPr="006441C1">
        <w:rPr>
          <w:rFonts w:eastAsia="Times New Roman"/>
          <w:snapToGrid/>
          <w:sz w:val="18"/>
          <w:szCs w:val="18"/>
          <w:lang w:val="en"/>
        </w:rPr>
        <w:t>1</w:t>
      </w:r>
      <w:r w:rsidR="00943675">
        <w:rPr>
          <w:rFonts w:eastAsia="Times New Roman"/>
          <w:snapToGrid/>
          <w:sz w:val="18"/>
          <w:szCs w:val="18"/>
          <w:lang w:val="en"/>
        </w:rPr>
        <w:t>3</w:t>
      </w:r>
      <w:r w:rsidRPr="006441C1">
        <w:rPr>
          <w:rFonts w:eastAsia="Times New Roman"/>
          <w:snapToGrid/>
          <w:sz w:val="18"/>
          <w:szCs w:val="18"/>
          <w:lang w:val="en"/>
        </w:rPr>
        <w:t>]. Firewood users for cooking are still high in Indonesia. In 2017 in Indonesia, 31.3% of rural people still cook using firewood. This figure is very different from urban people, which is only 5.15% [</w:t>
      </w:r>
      <w:r w:rsidR="00707D0F" w:rsidRPr="006441C1">
        <w:rPr>
          <w:rFonts w:eastAsia="Times New Roman"/>
          <w:snapToGrid/>
          <w:sz w:val="18"/>
          <w:szCs w:val="18"/>
          <w:lang w:val="en"/>
        </w:rPr>
        <w:t>1</w:t>
      </w:r>
      <w:r w:rsidR="00943675">
        <w:rPr>
          <w:rFonts w:eastAsia="Times New Roman"/>
          <w:snapToGrid/>
          <w:sz w:val="18"/>
          <w:szCs w:val="18"/>
          <w:lang w:val="en"/>
        </w:rPr>
        <w:t>4</w:t>
      </w:r>
      <w:r w:rsidRPr="006441C1">
        <w:rPr>
          <w:rFonts w:eastAsia="Times New Roman"/>
          <w:snapToGrid/>
          <w:sz w:val="18"/>
          <w:szCs w:val="18"/>
          <w:lang w:val="en"/>
        </w:rPr>
        <w:t>]. Compared to 2012 data, there was a decline in firewood users. Users in the village were 58.79% and in the city 12.79% [</w:t>
      </w:r>
      <w:r w:rsidR="00707D0F" w:rsidRPr="006441C1">
        <w:rPr>
          <w:rFonts w:eastAsia="Times New Roman"/>
          <w:snapToGrid/>
          <w:sz w:val="18"/>
          <w:szCs w:val="18"/>
          <w:lang w:val="en"/>
        </w:rPr>
        <w:t>1</w:t>
      </w:r>
      <w:r w:rsidR="00943675">
        <w:rPr>
          <w:rFonts w:eastAsia="Times New Roman"/>
          <w:snapToGrid/>
          <w:sz w:val="18"/>
          <w:szCs w:val="18"/>
          <w:lang w:val="en"/>
        </w:rPr>
        <w:t>4</w:t>
      </w:r>
      <w:r w:rsidRPr="006441C1">
        <w:rPr>
          <w:rFonts w:eastAsia="Times New Roman"/>
          <w:snapToGrid/>
          <w:sz w:val="18"/>
          <w:szCs w:val="18"/>
          <w:lang w:val="en"/>
        </w:rPr>
        <w:t>].</w:t>
      </w:r>
    </w:p>
    <w:p w:rsidR="00D554AC" w:rsidRDefault="00D33E9E" w:rsidP="00D554AC">
      <w:pPr>
        <w:widowControl/>
        <w:jc w:val="both"/>
        <w:rPr>
          <w:rFonts w:eastAsia="Times New Roman"/>
          <w:b/>
          <w:snapToGrid/>
          <w:sz w:val="18"/>
          <w:szCs w:val="18"/>
          <w:lang w:val="en"/>
        </w:rPr>
      </w:pPr>
      <w:r w:rsidRPr="006441C1">
        <w:rPr>
          <w:rFonts w:eastAsia="Times New Roman"/>
          <w:snapToGrid/>
          <w:sz w:val="18"/>
          <w:szCs w:val="18"/>
          <w:lang w:val="en"/>
        </w:rPr>
        <w:br/>
      </w:r>
      <w:r w:rsidRPr="006441C1">
        <w:rPr>
          <w:rFonts w:eastAsia="Times New Roman"/>
          <w:b/>
          <w:snapToGrid/>
          <w:sz w:val="18"/>
          <w:szCs w:val="18"/>
          <w:lang w:val="en"/>
        </w:rPr>
        <w:t>1.1 Problem Formulation</w:t>
      </w:r>
    </w:p>
    <w:p w:rsidR="00FA6CAC" w:rsidRDefault="00D33E9E" w:rsidP="00D554AC">
      <w:pPr>
        <w:widowControl/>
        <w:jc w:val="both"/>
        <w:rPr>
          <w:rFonts w:eastAsia="Times New Roman"/>
          <w:snapToGrid/>
          <w:sz w:val="18"/>
          <w:szCs w:val="18"/>
          <w:lang w:val="en"/>
        </w:rPr>
      </w:pPr>
      <w:r w:rsidRPr="006441C1">
        <w:rPr>
          <w:rFonts w:eastAsia="Times New Roman"/>
          <w:snapToGrid/>
          <w:sz w:val="18"/>
          <w:szCs w:val="18"/>
          <w:lang w:val="en"/>
        </w:rPr>
        <w:t>In this research, it will be observed the behavior of the population towards the use of renewable energy, especially biomass and biogas. The choice of population for various primary energy for household needs (cooking, heating water, etc.) and tofu craftsmen are analyzed. The extent of Sumedang's love for the tradition of using traditional fuels and his understanding of a clean and sustainable environment.</w:t>
      </w:r>
    </w:p>
    <w:p w:rsidR="00D554AC" w:rsidRDefault="00D33E9E" w:rsidP="00D554AC">
      <w:pPr>
        <w:widowControl/>
        <w:jc w:val="both"/>
        <w:rPr>
          <w:rFonts w:eastAsia="Times New Roman"/>
          <w:snapToGrid/>
          <w:sz w:val="18"/>
          <w:szCs w:val="18"/>
          <w:lang w:val="en"/>
        </w:rPr>
      </w:pPr>
      <w:r w:rsidRPr="006441C1">
        <w:rPr>
          <w:rFonts w:eastAsia="Times New Roman"/>
          <w:snapToGrid/>
          <w:sz w:val="18"/>
          <w:szCs w:val="18"/>
          <w:lang w:val="en"/>
        </w:rPr>
        <w:t>Based on achievement data from 2010 to 2016 and assuming an increase in</w:t>
      </w:r>
      <w:r w:rsidRPr="00D33E9E">
        <w:rPr>
          <w:rFonts w:eastAsia="Times New Roman"/>
          <w:snapToGrid/>
          <w:sz w:val="18"/>
          <w:szCs w:val="18"/>
          <w:lang w:val="en"/>
        </w:rPr>
        <w:t xml:space="preserve"> the growth of the </w:t>
      </w:r>
      <w:r w:rsidR="006441C1">
        <w:rPr>
          <w:rFonts w:eastAsia="Times New Roman"/>
          <w:snapToGrid/>
          <w:sz w:val="18"/>
          <w:szCs w:val="18"/>
          <w:lang w:val="en"/>
        </w:rPr>
        <w:t xml:space="preserve">NRE </w:t>
      </w:r>
      <w:r w:rsidRPr="00D33E9E">
        <w:rPr>
          <w:rFonts w:eastAsia="Times New Roman"/>
          <w:snapToGrid/>
          <w:sz w:val="18"/>
          <w:szCs w:val="18"/>
          <w:lang w:val="en"/>
        </w:rPr>
        <w:t>mix for electric and non-electric power on average by 0.55% [1</w:t>
      </w:r>
      <w:r w:rsidR="00943675">
        <w:rPr>
          <w:rFonts w:eastAsia="Times New Roman"/>
          <w:snapToGrid/>
          <w:sz w:val="18"/>
          <w:szCs w:val="18"/>
          <w:lang w:val="en"/>
        </w:rPr>
        <w:t>3</w:t>
      </w:r>
      <w:r w:rsidRPr="00D33E9E">
        <w:rPr>
          <w:rFonts w:eastAsia="Times New Roman"/>
          <w:snapToGrid/>
          <w:sz w:val="18"/>
          <w:szCs w:val="18"/>
          <w:lang w:val="en"/>
        </w:rPr>
        <w:t>,</w:t>
      </w:r>
      <w:r w:rsidR="00943675">
        <w:rPr>
          <w:rFonts w:eastAsia="Times New Roman"/>
          <w:snapToGrid/>
          <w:sz w:val="18"/>
          <w:szCs w:val="18"/>
          <w:lang w:val="en"/>
        </w:rPr>
        <w:t>14</w:t>
      </w:r>
      <w:r w:rsidRPr="00D33E9E">
        <w:rPr>
          <w:rFonts w:eastAsia="Times New Roman"/>
          <w:snapToGrid/>
          <w:sz w:val="18"/>
          <w:szCs w:val="18"/>
          <w:lang w:val="en"/>
        </w:rPr>
        <w:t>] or 6.1% / year according to the BPPT study [</w:t>
      </w:r>
      <w:r w:rsidR="00943675">
        <w:rPr>
          <w:rFonts w:eastAsia="Times New Roman"/>
          <w:snapToGrid/>
          <w:sz w:val="18"/>
          <w:szCs w:val="18"/>
          <w:lang w:val="en"/>
        </w:rPr>
        <w:t>4</w:t>
      </w:r>
      <w:r w:rsidRPr="00D33E9E">
        <w:rPr>
          <w:rFonts w:eastAsia="Times New Roman"/>
          <w:snapToGrid/>
          <w:sz w:val="18"/>
          <w:szCs w:val="18"/>
          <w:lang w:val="en"/>
        </w:rPr>
        <w:t xml:space="preserve">], then in 2025 it is estimated that there will be a shortage of 10.35% or 10.1% according to a BPPT study (Table 1.2). The question is whether the utilization of </w:t>
      </w:r>
      <w:r w:rsidR="006441C1">
        <w:rPr>
          <w:rFonts w:eastAsia="Times New Roman"/>
          <w:snapToGrid/>
          <w:sz w:val="18"/>
          <w:szCs w:val="18"/>
          <w:lang w:val="en"/>
        </w:rPr>
        <w:t xml:space="preserve">RE as </w:t>
      </w:r>
      <w:r w:rsidRPr="00D33E9E">
        <w:rPr>
          <w:rFonts w:eastAsia="Times New Roman"/>
          <w:snapToGrid/>
          <w:sz w:val="18"/>
          <w:szCs w:val="18"/>
          <w:lang w:val="en"/>
        </w:rPr>
        <w:t xml:space="preserve">primary energy by the population independently can add a sufficient percentage in achieving the national target of non-fossil primary energy or </w:t>
      </w:r>
      <w:r w:rsidR="006441C1">
        <w:rPr>
          <w:rFonts w:eastAsia="Times New Roman"/>
          <w:snapToGrid/>
          <w:sz w:val="18"/>
          <w:szCs w:val="18"/>
          <w:lang w:val="en"/>
        </w:rPr>
        <w:t>NRE</w:t>
      </w:r>
      <w:r w:rsidRPr="00D33E9E">
        <w:rPr>
          <w:rFonts w:eastAsia="Times New Roman"/>
          <w:snapToGrid/>
          <w:sz w:val="18"/>
          <w:szCs w:val="18"/>
          <w:lang w:val="en"/>
        </w:rPr>
        <w:t>?</w:t>
      </w:r>
    </w:p>
    <w:p w:rsidR="00D554AC" w:rsidRDefault="00D554AC" w:rsidP="00D554AC">
      <w:pPr>
        <w:widowControl/>
        <w:tabs>
          <w:tab w:val="left" w:pos="142"/>
        </w:tabs>
        <w:ind w:left="142" w:hanging="142"/>
        <w:jc w:val="both"/>
        <w:rPr>
          <w:rFonts w:eastAsia="Times New Roman"/>
          <w:snapToGrid/>
          <w:sz w:val="18"/>
          <w:szCs w:val="18"/>
          <w:lang w:val="en"/>
        </w:rPr>
      </w:pPr>
    </w:p>
    <w:p w:rsidR="00D554AC" w:rsidRDefault="00D33E9E" w:rsidP="00D554AC">
      <w:pPr>
        <w:widowControl/>
        <w:tabs>
          <w:tab w:val="left" w:pos="142"/>
        </w:tabs>
        <w:ind w:left="142" w:hanging="142"/>
        <w:jc w:val="both"/>
        <w:rPr>
          <w:rFonts w:eastAsia="Times New Roman"/>
          <w:b/>
          <w:snapToGrid/>
          <w:sz w:val="18"/>
          <w:szCs w:val="18"/>
          <w:lang w:val="en"/>
        </w:rPr>
      </w:pPr>
      <w:r w:rsidRPr="00D33E9E">
        <w:rPr>
          <w:rFonts w:eastAsia="Times New Roman"/>
          <w:b/>
          <w:snapToGrid/>
          <w:sz w:val="18"/>
          <w:szCs w:val="18"/>
          <w:lang w:val="en"/>
        </w:rPr>
        <w:t>1.2 Research Objectives</w:t>
      </w:r>
    </w:p>
    <w:p w:rsidR="00D554AC" w:rsidRDefault="00D33E9E" w:rsidP="00C66EAE">
      <w:pPr>
        <w:widowControl/>
        <w:jc w:val="both"/>
        <w:rPr>
          <w:rFonts w:eastAsia="Times New Roman"/>
          <w:snapToGrid/>
          <w:sz w:val="18"/>
          <w:szCs w:val="18"/>
          <w:lang w:val="en"/>
        </w:rPr>
      </w:pPr>
      <w:r w:rsidRPr="00D33E9E">
        <w:rPr>
          <w:rFonts w:eastAsia="Times New Roman"/>
          <w:snapToGrid/>
          <w:sz w:val="18"/>
          <w:szCs w:val="18"/>
          <w:lang w:val="en"/>
        </w:rPr>
        <w:t xml:space="preserve">The purpose of this study is to determine the type and amount of </w:t>
      </w:r>
      <w:r w:rsidR="006441C1">
        <w:rPr>
          <w:rFonts w:eastAsia="Times New Roman"/>
          <w:snapToGrid/>
          <w:sz w:val="18"/>
          <w:szCs w:val="18"/>
          <w:lang w:val="en"/>
        </w:rPr>
        <w:t xml:space="preserve">RE as </w:t>
      </w:r>
      <w:r w:rsidRPr="00D33E9E">
        <w:rPr>
          <w:rFonts w:eastAsia="Times New Roman"/>
          <w:snapToGrid/>
          <w:sz w:val="18"/>
          <w:szCs w:val="18"/>
          <w:lang w:val="en"/>
        </w:rPr>
        <w:t>primary energy use by the population by:</w:t>
      </w:r>
    </w:p>
    <w:p w:rsidR="00D554AC" w:rsidRDefault="00D33E9E" w:rsidP="00D554AC">
      <w:pPr>
        <w:widowControl/>
        <w:tabs>
          <w:tab w:val="left" w:pos="210"/>
        </w:tabs>
        <w:ind w:left="224" w:hanging="224"/>
        <w:jc w:val="both"/>
        <w:rPr>
          <w:rFonts w:eastAsia="Times New Roman"/>
          <w:snapToGrid/>
          <w:sz w:val="18"/>
          <w:szCs w:val="18"/>
          <w:lang w:val="en"/>
        </w:rPr>
      </w:pPr>
      <w:r w:rsidRPr="00D33E9E">
        <w:rPr>
          <w:rFonts w:eastAsia="Times New Roman"/>
          <w:snapToGrid/>
          <w:sz w:val="18"/>
          <w:szCs w:val="18"/>
          <w:lang w:val="en"/>
        </w:rPr>
        <w:t>a.</w:t>
      </w:r>
      <w:r w:rsidR="00D554AC">
        <w:rPr>
          <w:rFonts w:eastAsia="Times New Roman"/>
          <w:snapToGrid/>
          <w:sz w:val="18"/>
          <w:szCs w:val="18"/>
          <w:lang w:val="en"/>
        </w:rPr>
        <w:tab/>
      </w:r>
      <w:r w:rsidRPr="00D33E9E">
        <w:rPr>
          <w:rFonts w:eastAsia="Times New Roman"/>
          <w:snapToGrid/>
          <w:sz w:val="18"/>
          <w:szCs w:val="18"/>
          <w:lang w:val="en"/>
        </w:rPr>
        <w:t xml:space="preserve">examine whether the behavior of the population in Sumedang Regency is still willing to use </w:t>
      </w:r>
      <w:r w:rsidR="006441C1">
        <w:rPr>
          <w:rFonts w:eastAsia="Times New Roman"/>
          <w:snapToGrid/>
          <w:sz w:val="18"/>
          <w:szCs w:val="18"/>
          <w:lang w:val="en"/>
        </w:rPr>
        <w:t xml:space="preserve">RE as </w:t>
      </w:r>
      <w:r w:rsidRPr="00D33E9E">
        <w:rPr>
          <w:rFonts w:eastAsia="Times New Roman"/>
          <w:snapToGrid/>
          <w:sz w:val="18"/>
          <w:szCs w:val="18"/>
          <w:lang w:val="en"/>
        </w:rPr>
        <w:t>primary energy in their daily lives until 2025;</w:t>
      </w:r>
    </w:p>
    <w:p w:rsidR="00D554AC" w:rsidRDefault="00D33E9E" w:rsidP="00D554AC">
      <w:pPr>
        <w:widowControl/>
        <w:tabs>
          <w:tab w:val="left" w:pos="210"/>
        </w:tabs>
        <w:ind w:left="224" w:hanging="224"/>
        <w:jc w:val="both"/>
        <w:rPr>
          <w:rFonts w:eastAsia="Times New Roman"/>
          <w:snapToGrid/>
          <w:sz w:val="18"/>
          <w:szCs w:val="18"/>
          <w:lang w:val="en"/>
        </w:rPr>
      </w:pPr>
      <w:r w:rsidRPr="00D33E9E">
        <w:rPr>
          <w:rFonts w:eastAsia="Times New Roman"/>
          <w:snapToGrid/>
          <w:sz w:val="18"/>
          <w:szCs w:val="18"/>
          <w:lang w:val="en"/>
        </w:rPr>
        <w:t>b.</w:t>
      </w:r>
      <w:r w:rsidR="00D554AC">
        <w:rPr>
          <w:rFonts w:eastAsia="Times New Roman"/>
          <w:snapToGrid/>
          <w:sz w:val="18"/>
          <w:szCs w:val="18"/>
          <w:lang w:val="en"/>
        </w:rPr>
        <w:tab/>
      </w:r>
      <w:r w:rsidRPr="00D33E9E">
        <w:rPr>
          <w:rFonts w:eastAsia="Times New Roman"/>
          <w:snapToGrid/>
          <w:sz w:val="18"/>
          <w:szCs w:val="18"/>
          <w:lang w:val="en"/>
        </w:rPr>
        <w:t>calculate the percentage of the population of Sumedang Regency that uses biomass and biogas and compares it with statistical data for West Java; and</w:t>
      </w:r>
    </w:p>
    <w:p w:rsidR="00D554AC" w:rsidRDefault="00D33E9E" w:rsidP="00D554AC">
      <w:pPr>
        <w:widowControl/>
        <w:tabs>
          <w:tab w:val="left" w:pos="210"/>
        </w:tabs>
        <w:ind w:left="224" w:hanging="224"/>
        <w:jc w:val="both"/>
        <w:rPr>
          <w:rFonts w:eastAsia="Times New Roman"/>
          <w:snapToGrid/>
          <w:sz w:val="18"/>
          <w:szCs w:val="18"/>
          <w:lang w:val="en"/>
        </w:rPr>
      </w:pPr>
      <w:r w:rsidRPr="00D33E9E">
        <w:rPr>
          <w:rFonts w:eastAsia="Times New Roman"/>
          <w:snapToGrid/>
          <w:sz w:val="18"/>
          <w:szCs w:val="18"/>
          <w:lang w:val="en"/>
        </w:rPr>
        <w:t>c.</w:t>
      </w:r>
      <w:r w:rsidR="00D554AC">
        <w:rPr>
          <w:rFonts w:eastAsia="Times New Roman"/>
          <w:snapToGrid/>
          <w:sz w:val="18"/>
          <w:szCs w:val="18"/>
          <w:lang w:val="en"/>
        </w:rPr>
        <w:tab/>
      </w:r>
      <w:r w:rsidRPr="00D33E9E">
        <w:rPr>
          <w:rFonts w:eastAsia="Times New Roman"/>
          <w:snapToGrid/>
          <w:sz w:val="18"/>
          <w:szCs w:val="18"/>
          <w:lang w:val="en"/>
        </w:rPr>
        <w:t>to study whether the results of research in Sumedang Regency can be used as a reference on a national scale.</w:t>
      </w:r>
    </w:p>
    <w:p w:rsidR="00D554AC" w:rsidRDefault="00D554AC" w:rsidP="00D554AC">
      <w:pPr>
        <w:widowControl/>
        <w:contextualSpacing/>
        <w:jc w:val="both"/>
        <w:rPr>
          <w:rFonts w:eastAsia="Times New Roman"/>
          <w:b/>
          <w:snapToGrid/>
          <w:sz w:val="18"/>
          <w:szCs w:val="18"/>
          <w:lang w:val="en"/>
        </w:rPr>
      </w:pPr>
    </w:p>
    <w:p w:rsidR="00D554AC" w:rsidRDefault="00D33E9E" w:rsidP="00D554AC">
      <w:pPr>
        <w:widowControl/>
        <w:contextualSpacing/>
        <w:jc w:val="both"/>
        <w:rPr>
          <w:rFonts w:eastAsia="Times New Roman"/>
          <w:b/>
          <w:snapToGrid/>
          <w:sz w:val="18"/>
          <w:szCs w:val="18"/>
          <w:lang w:val="en"/>
        </w:rPr>
      </w:pPr>
      <w:r w:rsidRPr="00D33E9E">
        <w:rPr>
          <w:rFonts w:eastAsia="Times New Roman"/>
          <w:b/>
          <w:snapToGrid/>
          <w:sz w:val="18"/>
          <w:szCs w:val="18"/>
          <w:lang w:val="en"/>
        </w:rPr>
        <w:t>1.3 Research Benefits</w:t>
      </w:r>
    </w:p>
    <w:p w:rsidR="00EE74A8" w:rsidRDefault="00D33E9E" w:rsidP="00C66EAE">
      <w:pPr>
        <w:widowControl/>
        <w:jc w:val="both"/>
        <w:rPr>
          <w:rFonts w:eastAsia="Times New Roman"/>
          <w:snapToGrid/>
          <w:sz w:val="18"/>
          <w:szCs w:val="18"/>
          <w:lang w:val="en"/>
        </w:rPr>
      </w:pPr>
      <w:r w:rsidRPr="00D33E9E">
        <w:rPr>
          <w:rFonts w:eastAsia="Times New Roman"/>
          <w:snapToGrid/>
          <w:sz w:val="18"/>
          <w:szCs w:val="18"/>
          <w:lang w:val="en"/>
        </w:rPr>
        <w:t>It is hoped that the research results can provide confirmation that:</w:t>
      </w:r>
    </w:p>
    <w:p w:rsidR="00EE74A8" w:rsidRDefault="00D33E9E" w:rsidP="00D554AC">
      <w:pPr>
        <w:widowControl/>
        <w:tabs>
          <w:tab w:val="left" w:pos="182"/>
        </w:tabs>
        <w:ind w:left="182" w:hanging="182"/>
        <w:contextualSpacing/>
        <w:jc w:val="both"/>
        <w:rPr>
          <w:rFonts w:eastAsia="Times New Roman"/>
          <w:snapToGrid/>
          <w:sz w:val="18"/>
          <w:szCs w:val="18"/>
          <w:lang w:val="en"/>
        </w:rPr>
      </w:pPr>
      <w:r w:rsidRPr="00D33E9E">
        <w:rPr>
          <w:rFonts w:eastAsia="Times New Roman"/>
          <w:snapToGrid/>
          <w:sz w:val="18"/>
          <w:szCs w:val="18"/>
          <w:lang w:val="en"/>
        </w:rPr>
        <w:t>a.</w:t>
      </w:r>
      <w:r w:rsidR="00EE74A8">
        <w:rPr>
          <w:rFonts w:eastAsia="Times New Roman"/>
          <w:snapToGrid/>
          <w:sz w:val="18"/>
          <w:szCs w:val="18"/>
          <w:lang w:val="en"/>
        </w:rPr>
        <w:tab/>
      </w:r>
      <w:r w:rsidRPr="00D33E9E">
        <w:rPr>
          <w:rFonts w:eastAsia="Times New Roman"/>
          <w:snapToGrid/>
          <w:sz w:val="18"/>
          <w:szCs w:val="18"/>
          <w:lang w:val="en"/>
        </w:rPr>
        <w:t xml:space="preserve">The use of biomass and biogas primary energy by the population independently can contribute solutions to achieve the national target of primary energy </w:t>
      </w:r>
      <w:r w:rsidR="00060E3E">
        <w:rPr>
          <w:rFonts w:eastAsia="Times New Roman"/>
          <w:snapToGrid/>
          <w:sz w:val="18"/>
          <w:szCs w:val="18"/>
          <w:lang w:val="en"/>
        </w:rPr>
        <w:t>NRE</w:t>
      </w:r>
      <w:r w:rsidRPr="00D33E9E">
        <w:rPr>
          <w:rFonts w:eastAsia="Times New Roman"/>
          <w:snapToGrid/>
          <w:sz w:val="18"/>
          <w:szCs w:val="18"/>
          <w:lang w:val="en"/>
        </w:rPr>
        <w:t xml:space="preserve"> in the primary energy mix by 2025.</w:t>
      </w:r>
    </w:p>
    <w:p w:rsidR="00EE74A8" w:rsidRDefault="00D33E9E" w:rsidP="00D554AC">
      <w:pPr>
        <w:widowControl/>
        <w:tabs>
          <w:tab w:val="left" w:pos="182"/>
        </w:tabs>
        <w:ind w:left="182" w:hanging="182"/>
        <w:contextualSpacing/>
        <w:jc w:val="both"/>
        <w:rPr>
          <w:rFonts w:eastAsia="Times New Roman"/>
          <w:snapToGrid/>
          <w:sz w:val="18"/>
          <w:szCs w:val="18"/>
          <w:lang w:val="en"/>
        </w:rPr>
      </w:pPr>
      <w:r w:rsidRPr="00D33E9E">
        <w:rPr>
          <w:rFonts w:eastAsia="Times New Roman"/>
          <w:snapToGrid/>
          <w:sz w:val="18"/>
          <w:szCs w:val="18"/>
          <w:lang w:val="en"/>
        </w:rPr>
        <w:t>b. As proof of community participation in reducing greenhouse gas emissions reductions.</w:t>
      </w:r>
    </w:p>
    <w:p w:rsidR="00D33E9E" w:rsidRPr="00D33E9E" w:rsidRDefault="00D33E9E" w:rsidP="00D554AC">
      <w:pPr>
        <w:widowControl/>
        <w:tabs>
          <w:tab w:val="left" w:pos="182"/>
        </w:tabs>
        <w:ind w:left="182" w:hanging="182"/>
        <w:contextualSpacing/>
        <w:jc w:val="both"/>
        <w:rPr>
          <w:rFonts w:eastAsia="Times New Roman"/>
          <w:snapToGrid/>
          <w:sz w:val="18"/>
          <w:szCs w:val="18"/>
          <w:lang w:val="en"/>
        </w:rPr>
      </w:pPr>
      <w:r w:rsidRPr="00D33E9E">
        <w:rPr>
          <w:rFonts w:eastAsia="Times New Roman"/>
          <w:snapToGrid/>
          <w:sz w:val="18"/>
          <w:szCs w:val="18"/>
          <w:lang w:val="en"/>
        </w:rPr>
        <w:t>c. As a reference for more comprehensive and comprehensive research in Indonesia.</w:t>
      </w:r>
    </w:p>
    <w:p w:rsidR="005F35D0" w:rsidRDefault="005F35D0" w:rsidP="00F17ED7">
      <w:pPr>
        <w:jc w:val="both"/>
        <w:rPr>
          <w:sz w:val="18"/>
          <w:szCs w:val="18"/>
        </w:rPr>
      </w:pPr>
    </w:p>
    <w:p w:rsidR="00A36528" w:rsidRDefault="00A36528" w:rsidP="00F17ED7">
      <w:pPr>
        <w:jc w:val="both"/>
        <w:rPr>
          <w:sz w:val="18"/>
          <w:szCs w:val="18"/>
        </w:rPr>
      </w:pPr>
    </w:p>
    <w:p w:rsidR="006C0F5F" w:rsidRDefault="00BE7929" w:rsidP="006C0F5F">
      <w:pPr>
        <w:pStyle w:val="Heading1"/>
        <w:tabs>
          <w:tab w:val="left" w:pos="810"/>
          <w:tab w:val="center" w:pos="3980"/>
        </w:tabs>
        <w:adjustRightInd w:val="0"/>
        <w:rPr>
          <w:rStyle w:val="tlid-translation"/>
          <w:b/>
          <w:sz w:val="18"/>
          <w:szCs w:val="18"/>
          <w:lang w:val="en"/>
        </w:rPr>
      </w:pPr>
      <w:r w:rsidRPr="00D33E9E">
        <w:rPr>
          <w:b/>
          <w:sz w:val="18"/>
          <w:szCs w:val="18"/>
        </w:rPr>
        <w:lastRenderedPageBreak/>
        <w:t xml:space="preserve">2.0 </w:t>
      </w:r>
      <w:r w:rsidR="006C0F5F" w:rsidRPr="006C0F5F">
        <w:rPr>
          <w:rStyle w:val="tlid-translation"/>
          <w:b/>
          <w:sz w:val="18"/>
          <w:szCs w:val="18"/>
          <w:lang w:val="en"/>
        </w:rPr>
        <w:t>RESEARCH METHODOLOGY</w:t>
      </w:r>
    </w:p>
    <w:p w:rsidR="00EE74A8" w:rsidRDefault="002F4FC3" w:rsidP="00EE74A8">
      <w:pPr>
        <w:widowControl/>
        <w:jc w:val="both"/>
        <w:rPr>
          <w:rFonts w:eastAsia="Times New Roman"/>
          <w:b/>
          <w:snapToGrid/>
          <w:sz w:val="18"/>
          <w:szCs w:val="18"/>
          <w:lang w:val="en"/>
        </w:rPr>
      </w:pPr>
      <w:r>
        <w:rPr>
          <w:rFonts w:eastAsia="Times New Roman"/>
          <w:b/>
          <w:snapToGrid/>
          <w:sz w:val="18"/>
          <w:szCs w:val="18"/>
          <w:lang w:val="en"/>
        </w:rPr>
        <w:t xml:space="preserve">2.1 Research </w:t>
      </w:r>
      <w:r w:rsidR="00185261" w:rsidRPr="007004B5">
        <w:rPr>
          <w:rFonts w:eastAsia="Times New Roman"/>
          <w:b/>
          <w:snapToGrid/>
          <w:sz w:val="18"/>
          <w:szCs w:val="18"/>
          <w:lang w:val="en"/>
        </w:rPr>
        <w:t>Strategies</w:t>
      </w:r>
    </w:p>
    <w:p w:rsidR="00EE74A8" w:rsidRDefault="00185261" w:rsidP="00EE74A8">
      <w:pPr>
        <w:widowControl/>
        <w:jc w:val="both"/>
        <w:rPr>
          <w:rFonts w:eastAsia="Times New Roman"/>
          <w:snapToGrid/>
          <w:sz w:val="18"/>
          <w:szCs w:val="18"/>
          <w:lang w:val="en"/>
        </w:rPr>
      </w:pPr>
      <w:r w:rsidRPr="007004B5">
        <w:rPr>
          <w:rFonts w:eastAsia="Times New Roman"/>
          <w:snapToGrid/>
          <w:sz w:val="18"/>
          <w:szCs w:val="18"/>
          <w:lang w:val="en"/>
        </w:rPr>
        <w:t>The object of research is the househol</w:t>
      </w:r>
      <w:r w:rsidR="00060E3E">
        <w:rPr>
          <w:rFonts w:eastAsia="Times New Roman"/>
          <w:snapToGrid/>
          <w:sz w:val="18"/>
          <w:szCs w:val="18"/>
          <w:lang w:val="en"/>
        </w:rPr>
        <w:t>d. Sumedang Regency with 26 sub</w:t>
      </w:r>
      <w:r w:rsidRPr="007004B5">
        <w:rPr>
          <w:rFonts w:eastAsia="Times New Roman"/>
          <w:snapToGrid/>
          <w:sz w:val="18"/>
          <w:szCs w:val="18"/>
          <w:lang w:val="en"/>
        </w:rPr>
        <w:t>districts, 283 villages, in 2017 had 370,375 families or households [</w:t>
      </w:r>
      <w:r w:rsidR="00060E3E">
        <w:rPr>
          <w:rFonts w:eastAsia="Times New Roman"/>
          <w:snapToGrid/>
          <w:sz w:val="18"/>
          <w:szCs w:val="18"/>
          <w:lang w:val="en"/>
        </w:rPr>
        <w:t>2</w:t>
      </w:r>
      <w:r w:rsidR="00943675">
        <w:rPr>
          <w:rFonts w:eastAsia="Times New Roman"/>
          <w:snapToGrid/>
          <w:sz w:val="18"/>
          <w:szCs w:val="18"/>
          <w:lang w:val="en"/>
        </w:rPr>
        <w:t>5</w:t>
      </w:r>
      <w:r w:rsidRPr="007004B5">
        <w:rPr>
          <w:rFonts w:eastAsia="Times New Roman"/>
          <w:snapToGrid/>
          <w:sz w:val="18"/>
          <w:szCs w:val="18"/>
          <w:lang w:val="en"/>
        </w:rPr>
        <w:t>]. Not all household populations are respondents. The number of samples is not calculated based on the Slovin formula. To find out population behavior in the use of renewable energy, multistage sampling is used. 5 districts were selected according to their respective characteristics. For every 1,000 households in each sub-district, 1 household was randomly selected as a respondent (systematic random sampling). For the calculation of the use of renewable primary energy in Sumedang will be calculated based on secondary data obtained from various sources and results of research on population behavior. For national scale calculations, will be determined based on achievements in Sumedang.</w:t>
      </w:r>
    </w:p>
    <w:p w:rsidR="00EE74A8" w:rsidRDefault="00185261" w:rsidP="00EE74A8">
      <w:pPr>
        <w:widowControl/>
        <w:jc w:val="both"/>
        <w:rPr>
          <w:rFonts w:eastAsia="Times New Roman"/>
          <w:b/>
          <w:snapToGrid/>
          <w:sz w:val="18"/>
          <w:szCs w:val="18"/>
          <w:lang w:val="en"/>
        </w:rPr>
      </w:pPr>
      <w:r w:rsidRPr="007004B5">
        <w:rPr>
          <w:rFonts w:eastAsia="Times New Roman"/>
          <w:snapToGrid/>
          <w:sz w:val="18"/>
          <w:szCs w:val="18"/>
          <w:lang w:val="en"/>
        </w:rPr>
        <w:br/>
      </w:r>
      <w:r w:rsidRPr="007004B5">
        <w:rPr>
          <w:rFonts w:eastAsia="Times New Roman"/>
          <w:b/>
          <w:snapToGrid/>
          <w:sz w:val="18"/>
          <w:szCs w:val="18"/>
          <w:lang w:val="en"/>
        </w:rPr>
        <w:t>2.2 Research Sites and Samples</w:t>
      </w:r>
    </w:p>
    <w:p w:rsidR="00EE74A8" w:rsidRPr="00EE74A8" w:rsidRDefault="00185261" w:rsidP="00EE74A8">
      <w:pPr>
        <w:widowControl/>
        <w:jc w:val="both"/>
        <w:rPr>
          <w:rFonts w:eastAsia="Times New Roman"/>
          <w:snapToGrid/>
          <w:sz w:val="18"/>
          <w:szCs w:val="18"/>
          <w:lang w:val="en"/>
        </w:rPr>
      </w:pPr>
      <w:r w:rsidRPr="007004B5">
        <w:rPr>
          <w:rFonts w:eastAsia="Times New Roman"/>
          <w:snapToGrid/>
          <w:sz w:val="18"/>
          <w:szCs w:val="18"/>
          <w:lang w:val="en"/>
        </w:rPr>
        <w:t>The study sites were conducted in seve</w:t>
      </w:r>
      <w:r w:rsidR="00060E3E">
        <w:rPr>
          <w:rFonts w:eastAsia="Times New Roman"/>
          <w:snapToGrid/>
          <w:sz w:val="18"/>
          <w:szCs w:val="18"/>
          <w:lang w:val="en"/>
        </w:rPr>
        <w:t>ral villages as shown in Table 2</w:t>
      </w:r>
      <w:r w:rsidRPr="007004B5">
        <w:rPr>
          <w:rFonts w:eastAsia="Times New Roman"/>
          <w:snapToGrid/>
          <w:sz w:val="18"/>
          <w:szCs w:val="18"/>
          <w:lang w:val="en"/>
        </w:rPr>
        <w:t>.1 below.</w:t>
      </w:r>
    </w:p>
    <w:p w:rsidR="004435BC" w:rsidRDefault="004435BC" w:rsidP="004435BC">
      <w:pPr>
        <w:rPr>
          <w:sz w:val="18"/>
          <w:szCs w:val="18"/>
        </w:rPr>
      </w:pPr>
    </w:p>
    <w:p w:rsidR="00185261" w:rsidRDefault="00185261" w:rsidP="004435BC">
      <w:pPr>
        <w:tabs>
          <w:tab w:val="left" w:pos="3240"/>
        </w:tabs>
        <w:jc w:val="center"/>
        <w:rPr>
          <w:sz w:val="18"/>
          <w:szCs w:val="18"/>
        </w:rPr>
      </w:pPr>
      <w:r>
        <w:rPr>
          <w:sz w:val="18"/>
          <w:szCs w:val="18"/>
        </w:rPr>
        <w:t>Tab</w:t>
      </w:r>
      <w:r w:rsidR="00512245">
        <w:rPr>
          <w:sz w:val="18"/>
          <w:szCs w:val="18"/>
        </w:rPr>
        <w:t>l</w:t>
      </w:r>
      <w:r>
        <w:rPr>
          <w:sz w:val="18"/>
          <w:szCs w:val="18"/>
        </w:rPr>
        <w:t>e 2.1</w:t>
      </w:r>
    </w:p>
    <w:p w:rsidR="00185261" w:rsidRPr="001908BE" w:rsidRDefault="0077254E" w:rsidP="004435BC">
      <w:pPr>
        <w:tabs>
          <w:tab w:val="left" w:pos="3240"/>
        </w:tabs>
        <w:jc w:val="center"/>
        <w:rPr>
          <w:sz w:val="18"/>
          <w:szCs w:val="18"/>
        </w:rPr>
      </w:pPr>
      <w:r>
        <w:rPr>
          <w:sz w:val="18"/>
          <w:szCs w:val="18"/>
        </w:rPr>
        <w:t>Research Sites and Samples</w:t>
      </w:r>
    </w:p>
    <w:tbl>
      <w:tblPr>
        <w:tblW w:w="5015" w:type="pct"/>
        <w:tblInd w:w="-10" w:type="dxa"/>
        <w:tblBorders>
          <w:top w:val="single" w:sz="18" w:space="0" w:color="auto"/>
          <w:bottom w:val="single" w:sz="18" w:space="0" w:color="auto"/>
        </w:tblBorders>
        <w:tblLayout w:type="fixed"/>
        <w:tblLook w:val="0660" w:firstRow="1" w:lastRow="1" w:firstColumn="0" w:lastColumn="0" w:noHBand="1" w:noVBand="1"/>
      </w:tblPr>
      <w:tblGrid>
        <w:gridCol w:w="1086"/>
        <w:gridCol w:w="812"/>
        <w:gridCol w:w="806"/>
        <w:gridCol w:w="1200"/>
        <w:gridCol w:w="772"/>
      </w:tblGrid>
      <w:tr w:rsidR="00455650" w:rsidRPr="00EE74A8" w:rsidTr="00FA6CAC">
        <w:tc>
          <w:tcPr>
            <w:tcW w:w="1162" w:type="pct"/>
            <w:tcBorders>
              <w:top w:val="single" w:sz="8" w:space="0" w:color="auto"/>
              <w:left w:val="single" w:sz="8" w:space="0" w:color="auto"/>
              <w:bottom w:val="single" w:sz="8" w:space="0" w:color="auto"/>
              <w:right w:val="single" w:sz="8" w:space="0" w:color="auto"/>
            </w:tcBorders>
            <w:shd w:val="clear" w:color="auto" w:fill="auto"/>
            <w:noWrap/>
            <w:vAlign w:val="center"/>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r w:rsidRPr="00EE74A8">
              <w:rPr>
                <w:rFonts w:asciiTheme="majorBidi" w:hAnsiTheme="majorBidi" w:cstheme="majorBidi"/>
                <w:sz w:val="16"/>
                <w:szCs w:val="16"/>
              </w:rPr>
              <w:t xml:space="preserve">Selected </w:t>
            </w:r>
            <w:r w:rsidR="00060E3E" w:rsidRPr="00EE74A8">
              <w:rPr>
                <w:rFonts w:asciiTheme="majorBidi" w:hAnsiTheme="majorBidi" w:cstheme="majorBidi"/>
                <w:sz w:val="16"/>
                <w:szCs w:val="16"/>
              </w:rPr>
              <w:t>Subd</w:t>
            </w:r>
            <w:r w:rsidRPr="00EE74A8">
              <w:rPr>
                <w:rFonts w:asciiTheme="majorBidi" w:hAnsiTheme="majorBidi" w:cstheme="majorBidi"/>
                <w:sz w:val="16"/>
                <w:szCs w:val="16"/>
              </w:rPr>
              <w:t>istrict</w:t>
            </w:r>
          </w:p>
        </w:tc>
        <w:tc>
          <w:tcPr>
            <w:tcW w:w="868" w:type="pct"/>
            <w:tcBorders>
              <w:top w:val="single" w:sz="8" w:space="0" w:color="auto"/>
              <w:left w:val="single" w:sz="8" w:space="0" w:color="auto"/>
              <w:bottom w:val="single" w:sz="8" w:space="0" w:color="auto"/>
              <w:right w:val="single" w:sz="8" w:space="0" w:color="auto"/>
            </w:tcBorders>
            <w:shd w:val="clear" w:color="auto" w:fill="auto"/>
            <w:vAlign w:val="center"/>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iCs/>
                <w:sz w:val="16"/>
                <w:szCs w:val="16"/>
              </w:rPr>
            </w:pPr>
            <w:r w:rsidRPr="00EE74A8">
              <w:rPr>
                <w:rFonts w:asciiTheme="majorBidi" w:hAnsiTheme="majorBidi" w:cstheme="majorBidi"/>
                <w:iCs/>
                <w:sz w:val="16"/>
                <w:szCs w:val="16"/>
              </w:rPr>
              <w:t>Number of Family Heads</w:t>
            </w:r>
          </w:p>
        </w:tc>
        <w:tc>
          <w:tcPr>
            <w:tcW w:w="862" w:type="pct"/>
            <w:tcBorders>
              <w:top w:val="single" w:sz="8" w:space="0" w:color="auto"/>
              <w:left w:val="single" w:sz="8" w:space="0" w:color="auto"/>
              <w:bottom w:val="single" w:sz="8" w:space="0" w:color="auto"/>
              <w:right w:val="single" w:sz="8" w:space="0" w:color="auto"/>
            </w:tcBorders>
            <w:shd w:val="clear" w:color="auto" w:fill="auto"/>
            <w:vAlign w:val="center"/>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r w:rsidRPr="00EE74A8">
              <w:rPr>
                <w:rFonts w:asciiTheme="majorBidi" w:hAnsiTheme="majorBidi" w:cstheme="majorBidi"/>
                <w:sz w:val="16"/>
                <w:szCs w:val="16"/>
              </w:rPr>
              <w:t>Total Number of Samples</w:t>
            </w:r>
          </w:p>
        </w:tc>
        <w:tc>
          <w:tcPr>
            <w:tcW w:w="1283" w:type="pct"/>
            <w:tcBorders>
              <w:top w:val="single" w:sz="8" w:space="0" w:color="auto"/>
              <w:left w:val="single" w:sz="8" w:space="0" w:color="auto"/>
              <w:bottom w:val="single" w:sz="8" w:space="0" w:color="auto"/>
              <w:right w:val="single" w:sz="8" w:space="0" w:color="auto"/>
            </w:tcBorders>
            <w:shd w:val="clear" w:color="auto" w:fill="auto"/>
            <w:vAlign w:val="center"/>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r w:rsidRPr="00EE74A8">
              <w:rPr>
                <w:rFonts w:asciiTheme="majorBidi" w:hAnsiTheme="majorBidi" w:cstheme="majorBidi"/>
                <w:sz w:val="16"/>
                <w:szCs w:val="16"/>
              </w:rPr>
              <w:t>Selected Village</w:t>
            </w:r>
          </w:p>
        </w:tc>
        <w:tc>
          <w:tcPr>
            <w:tcW w:w="825" w:type="pct"/>
            <w:tcBorders>
              <w:top w:val="single" w:sz="8" w:space="0" w:color="auto"/>
              <w:left w:val="single" w:sz="8" w:space="0" w:color="auto"/>
              <w:bottom w:val="single" w:sz="8" w:space="0" w:color="auto"/>
              <w:right w:val="single" w:sz="8" w:space="0" w:color="auto"/>
            </w:tcBorders>
            <w:shd w:val="clear" w:color="auto" w:fill="auto"/>
            <w:vAlign w:val="center"/>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r w:rsidRPr="00EE74A8">
              <w:rPr>
                <w:rFonts w:asciiTheme="majorBidi" w:hAnsiTheme="majorBidi" w:cstheme="majorBidi"/>
                <w:sz w:val="16"/>
                <w:szCs w:val="16"/>
              </w:rPr>
              <w:t>Number of Samples</w:t>
            </w:r>
          </w:p>
        </w:tc>
      </w:tr>
      <w:tr w:rsidR="00455650" w:rsidRPr="00EE74A8" w:rsidTr="00FA6CAC">
        <w:tc>
          <w:tcPr>
            <w:tcW w:w="1162" w:type="pct"/>
            <w:tcBorders>
              <w:top w:val="single" w:sz="8" w:space="0" w:color="auto"/>
              <w:left w:val="single" w:sz="8" w:space="0" w:color="auto"/>
              <w:bottom w:val="single" w:sz="8" w:space="0" w:color="auto"/>
              <w:right w:val="single" w:sz="8" w:space="0" w:color="auto"/>
            </w:tcBorders>
            <w:shd w:val="clear" w:color="auto" w:fill="auto"/>
            <w:noWrap/>
            <w:vAlign w:val="center"/>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r w:rsidRPr="00EE74A8">
              <w:rPr>
                <w:rFonts w:asciiTheme="majorBidi" w:hAnsiTheme="majorBidi" w:cstheme="majorBidi"/>
                <w:sz w:val="16"/>
                <w:szCs w:val="16"/>
              </w:rPr>
              <w:t>Tanjungsari</w:t>
            </w:r>
          </w:p>
        </w:tc>
        <w:tc>
          <w:tcPr>
            <w:tcW w:w="868" w:type="pct"/>
            <w:tcBorders>
              <w:top w:val="single" w:sz="8" w:space="0" w:color="auto"/>
              <w:left w:val="single" w:sz="8" w:space="0" w:color="auto"/>
              <w:bottom w:val="single" w:sz="8" w:space="0" w:color="auto"/>
              <w:right w:val="single" w:sz="8" w:space="0" w:color="auto"/>
            </w:tcBorders>
            <w:shd w:val="clear" w:color="auto" w:fill="auto"/>
            <w:vAlign w:val="center"/>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r w:rsidRPr="00EE74A8">
              <w:rPr>
                <w:rFonts w:asciiTheme="majorBidi" w:hAnsiTheme="majorBidi" w:cstheme="majorBidi"/>
                <w:sz w:val="16"/>
                <w:szCs w:val="16"/>
              </w:rPr>
              <w:t>23.356</w:t>
            </w:r>
          </w:p>
        </w:tc>
        <w:tc>
          <w:tcPr>
            <w:tcW w:w="862" w:type="pct"/>
            <w:tcBorders>
              <w:top w:val="single" w:sz="8" w:space="0" w:color="auto"/>
              <w:left w:val="single" w:sz="8" w:space="0" w:color="auto"/>
              <w:bottom w:val="single" w:sz="8" w:space="0" w:color="auto"/>
              <w:right w:val="single" w:sz="8" w:space="0" w:color="auto"/>
            </w:tcBorders>
            <w:shd w:val="clear" w:color="auto" w:fill="auto"/>
            <w:vAlign w:val="center"/>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r w:rsidRPr="00EE74A8">
              <w:rPr>
                <w:rFonts w:asciiTheme="majorBidi" w:hAnsiTheme="majorBidi" w:cstheme="majorBidi"/>
                <w:sz w:val="16"/>
                <w:szCs w:val="16"/>
              </w:rPr>
              <w:t>23</w:t>
            </w:r>
          </w:p>
        </w:tc>
        <w:tc>
          <w:tcPr>
            <w:tcW w:w="1283" w:type="pct"/>
            <w:tcBorders>
              <w:top w:val="single" w:sz="8" w:space="0" w:color="auto"/>
              <w:left w:val="single" w:sz="8" w:space="0" w:color="auto"/>
              <w:bottom w:val="single" w:sz="8" w:space="0" w:color="auto"/>
              <w:right w:val="single" w:sz="8" w:space="0" w:color="auto"/>
            </w:tcBorders>
            <w:shd w:val="clear" w:color="auto" w:fill="auto"/>
            <w:vAlign w:val="center"/>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r w:rsidRPr="00EE74A8">
              <w:rPr>
                <w:rFonts w:asciiTheme="majorBidi" w:hAnsiTheme="majorBidi" w:cstheme="majorBidi"/>
                <w:sz w:val="16"/>
                <w:szCs w:val="16"/>
              </w:rPr>
              <w:t>Tanjungsari</w:t>
            </w:r>
          </w:p>
        </w:tc>
        <w:tc>
          <w:tcPr>
            <w:tcW w:w="825" w:type="pct"/>
            <w:tcBorders>
              <w:top w:val="single" w:sz="8" w:space="0" w:color="auto"/>
              <w:left w:val="single" w:sz="8" w:space="0" w:color="auto"/>
              <w:bottom w:val="single" w:sz="8" w:space="0" w:color="auto"/>
              <w:right w:val="single" w:sz="8" w:space="0" w:color="auto"/>
            </w:tcBorders>
            <w:shd w:val="clear" w:color="auto" w:fill="auto"/>
            <w:vAlign w:val="center"/>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r w:rsidRPr="00EE74A8">
              <w:rPr>
                <w:rFonts w:asciiTheme="majorBidi" w:hAnsiTheme="majorBidi" w:cstheme="majorBidi"/>
                <w:sz w:val="16"/>
                <w:szCs w:val="16"/>
              </w:rPr>
              <w:t>23</w:t>
            </w:r>
          </w:p>
        </w:tc>
      </w:tr>
      <w:tr w:rsidR="00455650" w:rsidRPr="00EE74A8" w:rsidTr="00FA6CAC">
        <w:tc>
          <w:tcPr>
            <w:tcW w:w="1162" w:type="pct"/>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r w:rsidRPr="00EE74A8">
              <w:rPr>
                <w:rFonts w:asciiTheme="majorBidi" w:hAnsiTheme="majorBidi" w:cstheme="majorBidi"/>
                <w:sz w:val="16"/>
                <w:szCs w:val="16"/>
              </w:rPr>
              <w:t>Pamulihan</w:t>
            </w:r>
          </w:p>
        </w:tc>
        <w:tc>
          <w:tcPr>
            <w:tcW w:w="868"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r w:rsidRPr="00EE74A8">
              <w:rPr>
                <w:rFonts w:asciiTheme="majorBidi" w:hAnsiTheme="majorBidi" w:cstheme="majorBidi"/>
                <w:sz w:val="16"/>
                <w:szCs w:val="16"/>
              </w:rPr>
              <w:t>20.036</w:t>
            </w:r>
          </w:p>
        </w:tc>
        <w:tc>
          <w:tcPr>
            <w:tcW w:w="862"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r w:rsidRPr="00EE74A8">
              <w:rPr>
                <w:rFonts w:asciiTheme="majorBidi" w:hAnsiTheme="majorBidi" w:cstheme="majorBidi"/>
                <w:sz w:val="16"/>
                <w:szCs w:val="16"/>
              </w:rPr>
              <w:t>20</w:t>
            </w:r>
          </w:p>
        </w:tc>
        <w:tc>
          <w:tcPr>
            <w:tcW w:w="1283" w:type="pct"/>
            <w:tcBorders>
              <w:top w:val="single" w:sz="8" w:space="0" w:color="auto"/>
              <w:left w:val="single" w:sz="8" w:space="0" w:color="auto"/>
              <w:bottom w:val="single" w:sz="8" w:space="0" w:color="auto"/>
              <w:right w:val="single" w:sz="8" w:space="0" w:color="auto"/>
            </w:tcBorders>
            <w:shd w:val="clear" w:color="auto" w:fill="auto"/>
            <w:vAlign w:val="center"/>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r w:rsidRPr="00EE74A8">
              <w:rPr>
                <w:rFonts w:asciiTheme="majorBidi" w:hAnsiTheme="majorBidi" w:cstheme="majorBidi"/>
                <w:sz w:val="16"/>
                <w:szCs w:val="16"/>
              </w:rPr>
              <w:t>Haurngombong</w:t>
            </w:r>
          </w:p>
        </w:tc>
        <w:tc>
          <w:tcPr>
            <w:tcW w:w="825" w:type="pct"/>
            <w:tcBorders>
              <w:top w:val="single" w:sz="8" w:space="0" w:color="auto"/>
              <w:left w:val="single" w:sz="8" w:space="0" w:color="auto"/>
              <w:bottom w:val="single" w:sz="8" w:space="0" w:color="auto"/>
              <w:right w:val="single" w:sz="8" w:space="0" w:color="auto"/>
            </w:tcBorders>
            <w:shd w:val="clear" w:color="auto" w:fill="auto"/>
            <w:vAlign w:val="center"/>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r w:rsidRPr="00EE74A8">
              <w:rPr>
                <w:rFonts w:asciiTheme="majorBidi" w:hAnsiTheme="majorBidi" w:cstheme="majorBidi"/>
                <w:sz w:val="16"/>
                <w:szCs w:val="16"/>
              </w:rPr>
              <w:t>11</w:t>
            </w:r>
          </w:p>
        </w:tc>
      </w:tr>
      <w:tr w:rsidR="00455650" w:rsidRPr="00EE74A8" w:rsidTr="00FA6CAC">
        <w:tc>
          <w:tcPr>
            <w:tcW w:w="1162" w:type="pct"/>
            <w:vMerge/>
            <w:tcBorders>
              <w:top w:val="single" w:sz="8" w:space="0" w:color="auto"/>
              <w:left w:val="single" w:sz="8" w:space="0" w:color="auto"/>
              <w:bottom w:val="single" w:sz="8" w:space="0" w:color="auto"/>
              <w:right w:val="single" w:sz="8" w:space="0" w:color="auto"/>
            </w:tcBorders>
            <w:shd w:val="clear" w:color="auto" w:fill="auto"/>
            <w:noWrap/>
            <w:vAlign w:val="center"/>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p>
        </w:tc>
        <w:tc>
          <w:tcPr>
            <w:tcW w:w="868" w:type="pct"/>
            <w:vMerge/>
            <w:tcBorders>
              <w:top w:val="single" w:sz="8" w:space="0" w:color="auto"/>
              <w:left w:val="single" w:sz="8" w:space="0" w:color="auto"/>
              <w:bottom w:val="single" w:sz="8" w:space="0" w:color="auto"/>
              <w:right w:val="single" w:sz="8" w:space="0" w:color="auto"/>
            </w:tcBorders>
            <w:shd w:val="clear" w:color="auto" w:fill="auto"/>
            <w:vAlign w:val="center"/>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p>
        </w:tc>
        <w:tc>
          <w:tcPr>
            <w:tcW w:w="862" w:type="pct"/>
            <w:vMerge/>
            <w:tcBorders>
              <w:top w:val="single" w:sz="8" w:space="0" w:color="auto"/>
              <w:left w:val="single" w:sz="8" w:space="0" w:color="auto"/>
              <w:bottom w:val="single" w:sz="8" w:space="0" w:color="auto"/>
              <w:right w:val="single" w:sz="8" w:space="0" w:color="auto"/>
            </w:tcBorders>
            <w:shd w:val="clear" w:color="auto" w:fill="auto"/>
            <w:vAlign w:val="center"/>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p>
        </w:tc>
        <w:tc>
          <w:tcPr>
            <w:tcW w:w="1283" w:type="pct"/>
            <w:tcBorders>
              <w:top w:val="single" w:sz="8" w:space="0" w:color="auto"/>
              <w:left w:val="single" w:sz="8" w:space="0" w:color="auto"/>
              <w:bottom w:val="single" w:sz="8" w:space="0" w:color="auto"/>
              <w:right w:val="single" w:sz="8" w:space="0" w:color="auto"/>
            </w:tcBorders>
            <w:shd w:val="clear" w:color="auto" w:fill="auto"/>
            <w:vAlign w:val="center"/>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r w:rsidRPr="00EE74A8">
              <w:rPr>
                <w:rFonts w:asciiTheme="majorBidi" w:hAnsiTheme="majorBidi" w:cstheme="majorBidi"/>
                <w:sz w:val="16"/>
                <w:szCs w:val="16"/>
              </w:rPr>
              <w:t>Pamulihan</w:t>
            </w:r>
          </w:p>
        </w:tc>
        <w:tc>
          <w:tcPr>
            <w:tcW w:w="825" w:type="pct"/>
            <w:tcBorders>
              <w:top w:val="single" w:sz="8" w:space="0" w:color="auto"/>
              <w:left w:val="single" w:sz="8" w:space="0" w:color="auto"/>
              <w:bottom w:val="single" w:sz="8" w:space="0" w:color="auto"/>
              <w:right w:val="single" w:sz="8" w:space="0" w:color="auto"/>
            </w:tcBorders>
            <w:shd w:val="clear" w:color="auto" w:fill="auto"/>
            <w:vAlign w:val="center"/>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r w:rsidRPr="00EE74A8">
              <w:rPr>
                <w:rFonts w:asciiTheme="majorBidi" w:hAnsiTheme="majorBidi" w:cstheme="majorBidi"/>
                <w:sz w:val="16"/>
                <w:szCs w:val="16"/>
              </w:rPr>
              <w:t>9</w:t>
            </w:r>
          </w:p>
        </w:tc>
      </w:tr>
      <w:tr w:rsidR="00455650" w:rsidRPr="00EE74A8" w:rsidTr="00FA6CAC">
        <w:tc>
          <w:tcPr>
            <w:tcW w:w="1162" w:type="pct"/>
            <w:tcBorders>
              <w:top w:val="single" w:sz="8" w:space="0" w:color="auto"/>
              <w:left w:val="single" w:sz="8" w:space="0" w:color="auto"/>
              <w:bottom w:val="single" w:sz="8" w:space="0" w:color="auto"/>
              <w:right w:val="single" w:sz="8" w:space="0" w:color="auto"/>
            </w:tcBorders>
            <w:shd w:val="clear" w:color="auto" w:fill="auto"/>
            <w:noWrap/>
            <w:vAlign w:val="center"/>
          </w:tcPr>
          <w:p w:rsid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r w:rsidRPr="00EE74A8">
              <w:rPr>
                <w:rFonts w:asciiTheme="majorBidi" w:hAnsiTheme="majorBidi" w:cstheme="majorBidi"/>
                <w:sz w:val="16"/>
                <w:szCs w:val="16"/>
              </w:rPr>
              <w:t xml:space="preserve">Sumedang </w:t>
            </w:r>
          </w:p>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r w:rsidRPr="00EE74A8">
              <w:rPr>
                <w:rFonts w:asciiTheme="majorBidi" w:hAnsiTheme="majorBidi" w:cstheme="majorBidi"/>
                <w:sz w:val="16"/>
                <w:szCs w:val="16"/>
              </w:rPr>
              <w:t>Utara</w:t>
            </w:r>
          </w:p>
        </w:tc>
        <w:tc>
          <w:tcPr>
            <w:tcW w:w="868" w:type="pct"/>
            <w:tcBorders>
              <w:top w:val="single" w:sz="8" w:space="0" w:color="auto"/>
              <w:left w:val="single" w:sz="8" w:space="0" w:color="auto"/>
              <w:bottom w:val="single" w:sz="8" w:space="0" w:color="auto"/>
              <w:right w:val="single" w:sz="8" w:space="0" w:color="auto"/>
            </w:tcBorders>
            <w:shd w:val="clear" w:color="auto" w:fill="auto"/>
            <w:vAlign w:val="center"/>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r w:rsidRPr="00EE74A8">
              <w:rPr>
                <w:rFonts w:asciiTheme="majorBidi" w:hAnsiTheme="majorBidi" w:cstheme="majorBidi"/>
                <w:sz w:val="16"/>
                <w:szCs w:val="16"/>
              </w:rPr>
              <w:t>30.003</w:t>
            </w:r>
          </w:p>
        </w:tc>
        <w:tc>
          <w:tcPr>
            <w:tcW w:w="862" w:type="pct"/>
            <w:tcBorders>
              <w:top w:val="single" w:sz="8" w:space="0" w:color="auto"/>
              <w:left w:val="single" w:sz="8" w:space="0" w:color="auto"/>
              <w:bottom w:val="single" w:sz="8" w:space="0" w:color="auto"/>
              <w:right w:val="single" w:sz="8" w:space="0" w:color="auto"/>
            </w:tcBorders>
            <w:shd w:val="clear" w:color="auto" w:fill="auto"/>
            <w:vAlign w:val="center"/>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r w:rsidRPr="00EE74A8">
              <w:rPr>
                <w:rFonts w:asciiTheme="majorBidi" w:hAnsiTheme="majorBidi" w:cstheme="majorBidi"/>
                <w:sz w:val="16"/>
                <w:szCs w:val="16"/>
              </w:rPr>
              <w:t>30</w:t>
            </w:r>
          </w:p>
        </w:tc>
        <w:tc>
          <w:tcPr>
            <w:tcW w:w="1283" w:type="pct"/>
            <w:tcBorders>
              <w:top w:val="single" w:sz="8" w:space="0" w:color="auto"/>
              <w:left w:val="single" w:sz="8" w:space="0" w:color="auto"/>
              <w:bottom w:val="single" w:sz="8" w:space="0" w:color="auto"/>
              <w:right w:val="single" w:sz="8" w:space="0" w:color="auto"/>
            </w:tcBorders>
            <w:shd w:val="clear" w:color="auto" w:fill="auto"/>
            <w:vAlign w:val="center"/>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r w:rsidRPr="00EE74A8">
              <w:rPr>
                <w:rFonts w:asciiTheme="majorBidi" w:hAnsiTheme="majorBidi" w:cstheme="majorBidi"/>
                <w:sz w:val="16"/>
                <w:szCs w:val="16"/>
              </w:rPr>
              <w:t>Kebonjati</w:t>
            </w:r>
          </w:p>
        </w:tc>
        <w:tc>
          <w:tcPr>
            <w:tcW w:w="825" w:type="pct"/>
            <w:tcBorders>
              <w:top w:val="single" w:sz="8" w:space="0" w:color="auto"/>
              <w:left w:val="single" w:sz="8" w:space="0" w:color="auto"/>
              <w:bottom w:val="single" w:sz="8" w:space="0" w:color="auto"/>
              <w:right w:val="single" w:sz="8" w:space="0" w:color="auto"/>
            </w:tcBorders>
            <w:shd w:val="clear" w:color="auto" w:fill="auto"/>
            <w:vAlign w:val="center"/>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r w:rsidRPr="00EE74A8">
              <w:rPr>
                <w:rFonts w:asciiTheme="majorBidi" w:hAnsiTheme="majorBidi" w:cstheme="majorBidi"/>
                <w:sz w:val="16"/>
                <w:szCs w:val="16"/>
              </w:rPr>
              <w:t>30</w:t>
            </w:r>
          </w:p>
        </w:tc>
      </w:tr>
      <w:tr w:rsidR="00455650" w:rsidRPr="00EE74A8" w:rsidTr="00FA6CAC">
        <w:tc>
          <w:tcPr>
            <w:tcW w:w="1162" w:type="pct"/>
            <w:tcBorders>
              <w:top w:val="single" w:sz="8" w:space="0" w:color="auto"/>
              <w:left w:val="single" w:sz="8" w:space="0" w:color="auto"/>
              <w:bottom w:val="single" w:sz="8" w:space="0" w:color="auto"/>
              <w:right w:val="single" w:sz="8" w:space="0" w:color="auto"/>
            </w:tcBorders>
            <w:shd w:val="clear" w:color="auto" w:fill="auto"/>
            <w:noWrap/>
            <w:vAlign w:val="center"/>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r w:rsidRPr="00EE74A8">
              <w:rPr>
                <w:rFonts w:asciiTheme="majorBidi" w:hAnsiTheme="majorBidi" w:cstheme="majorBidi"/>
                <w:sz w:val="16"/>
                <w:szCs w:val="16"/>
              </w:rPr>
              <w:t>Cibugel</w:t>
            </w:r>
          </w:p>
        </w:tc>
        <w:tc>
          <w:tcPr>
            <w:tcW w:w="868" w:type="pct"/>
            <w:tcBorders>
              <w:top w:val="single" w:sz="8" w:space="0" w:color="auto"/>
              <w:left w:val="single" w:sz="8" w:space="0" w:color="auto"/>
              <w:bottom w:val="single" w:sz="8" w:space="0" w:color="auto"/>
              <w:right w:val="single" w:sz="8" w:space="0" w:color="auto"/>
            </w:tcBorders>
            <w:shd w:val="clear" w:color="auto" w:fill="auto"/>
            <w:vAlign w:val="center"/>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r w:rsidRPr="00EE74A8">
              <w:rPr>
                <w:rFonts w:asciiTheme="majorBidi" w:hAnsiTheme="majorBidi" w:cstheme="majorBidi"/>
                <w:sz w:val="16"/>
                <w:szCs w:val="16"/>
              </w:rPr>
              <w:t>7.438</w:t>
            </w:r>
          </w:p>
        </w:tc>
        <w:tc>
          <w:tcPr>
            <w:tcW w:w="862" w:type="pct"/>
            <w:tcBorders>
              <w:top w:val="single" w:sz="8" w:space="0" w:color="auto"/>
              <w:left w:val="single" w:sz="8" w:space="0" w:color="auto"/>
              <w:bottom w:val="single" w:sz="8" w:space="0" w:color="auto"/>
              <w:right w:val="single" w:sz="8" w:space="0" w:color="auto"/>
            </w:tcBorders>
            <w:shd w:val="clear" w:color="auto" w:fill="auto"/>
            <w:vAlign w:val="center"/>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r w:rsidRPr="00EE74A8">
              <w:rPr>
                <w:rFonts w:asciiTheme="majorBidi" w:hAnsiTheme="majorBidi" w:cstheme="majorBidi"/>
                <w:sz w:val="16"/>
                <w:szCs w:val="16"/>
              </w:rPr>
              <w:t>7</w:t>
            </w:r>
          </w:p>
        </w:tc>
        <w:tc>
          <w:tcPr>
            <w:tcW w:w="1283" w:type="pct"/>
            <w:tcBorders>
              <w:top w:val="single" w:sz="8" w:space="0" w:color="auto"/>
              <w:left w:val="single" w:sz="8" w:space="0" w:color="auto"/>
              <w:bottom w:val="single" w:sz="8" w:space="0" w:color="auto"/>
              <w:right w:val="single" w:sz="8" w:space="0" w:color="auto"/>
            </w:tcBorders>
            <w:shd w:val="clear" w:color="auto" w:fill="auto"/>
            <w:vAlign w:val="center"/>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r w:rsidRPr="00EE74A8">
              <w:rPr>
                <w:rFonts w:asciiTheme="majorBidi" w:hAnsiTheme="majorBidi" w:cstheme="majorBidi"/>
                <w:sz w:val="16"/>
                <w:szCs w:val="16"/>
              </w:rPr>
              <w:t>Tamansari</w:t>
            </w:r>
          </w:p>
        </w:tc>
        <w:tc>
          <w:tcPr>
            <w:tcW w:w="825" w:type="pct"/>
            <w:tcBorders>
              <w:top w:val="single" w:sz="8" w:space="0" w:color="auto"/>
              <w:left w:val="single" w:sz="8" w:space="0" w:color="auto"/>
              <w:bottom w:val="single" w:sz="8" w:space="0" w:color="auto"/>
              <w:right w:val="single" w:sz="8" w:space="0" w:color="auto"/>
            </w:tcBorders>
            <w:shd w:val="clear" w:color="auto" w:fill="auto"/>
            <w:vAlign w:val="center"/>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r w:rsidRPr="00EE74A8">
              <w:rPr>
                <w:rFonts w:asciiTheme="majorBidi" w:hAnsiTheme="majorBidi" w:cstheme="majorBidi"/>
                <w:sz w:val="16"/>
                <w:szCs w:val="16"/>
              </w:rPr>
              <w:t>7</w:t>
            </w:r>
          </w:p>
        </w:tc>
      </w:tr>
      <w:tr w:rsidR="00455650" w:rsidRPr="00EE74A8" w:rsidTr="00FA6CAC">
        <w:tc>
          <w:tcPr>
            <w:tcW w:w="1162" w:type="pct"/>
            <w:tcBorders>
              <w:top w:val="single" w:sz="8" w:space="0" w:color="auto"/>
              <w:left w:val="single" w:sz="8" w:space="0" w:color="auto"/>
              <w:bottom w:val="single" w:sz="8" w:space="0" w:color="auto"/>
              <w:right w:val="single" w:sz="8" w:space="0" w:color="auto"/>
            </w:tcBorders>
            <w:shd w:val="clear" w:color="auto" w:fill="auto"/>
            <w:noWrap/>
            <w:vAlign w:val="center"/>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r w:rsidRPr="00EE74A8">
              <w:rPr>
                <w:rFonts w:asciiTheme="majorBidi" w:hAnsiTheme="majorBidi" w:cstheme="majorBidi"/>
                <w:sz w:val="16"/>
                <w:szCs w:val="16"/>
              </w:rPr>
              <w:t>Surian</w:t>
            </w:r>
          </w:p>
        </w:tc>
        <w:tc>
          <w:tcPr>
            <w:tcW w:w="868" w:type="pct"/>
            <w:tcBorders>
              <w:top w:val="single" w:sz="8" w:space="0" w:color="auto"/>
              <w:left w:val="single" w:sz="8" w:space="0" w:color="auto"/>
              <w:bottom w:val="single" w:sz="8" w:space="0" w:color="auto"/>
              <w:right w:val="single" w:sz="8" w:space="0" w:color="auto"/>
            </w:tcBorders>
            <w:shd w:val="clear" w:color="auto" w:fill="auto"/>
            <w:vAlign w:val="center"/>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r w:rsidRPr="00EE74A8">
              <w:rPr>
                <w:rFonts w:asciiTheme="majorBidi" w:hAnsiTheme="majorBidi" w:cstheme="majorBidi"/>
                <w:sz w:val="16"/>
                <w:szCs w:val="16"/>
              </w:rPr>
              <w:t>4.479</w:t>
            </w:r>
          </w:p>
        </w:tc>
        <w:tc>
          <w:tcPr>
            <w:tcW w:w="862" w:type="pct"/>
            <w:tcBorders>
              <w:top w:val="single" w:sz="8" w:space="0" w:color="auto"/>
              <w:left w:val="single" w:sz="8" w:space="0" w:color="auto"/>
              <w:bottom w:val="single" w:sz="8" w:space="0" w:color="auto"/>
              <w:right w:val="single" w:sz="8" w:space="0" w:color="auto"/>
            </w:tcBorders>
            <w:shd w:val="clear" w:color="auto" w:fill="auto"/>
            <w:vAlign w:val="center"/>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r w:rsidRPr="00EE74A8">
              <w:rPr>
                <w:rFonts w:asciiTheme="majorBidi" w:hAnsiTheme="majorBidi" w:cstheme="majorBidi"/>
                <w:sz w:val="16"/>
                <w:szCs w:val="16"/>
              </w:rPr>
              <w:t>4</w:t>
            </w:r>
          </w:p>
        </w:tc>
        <w:tc>
          <w:tcPr>
            <w:tcW w:w="1283" w:type="pct"/>
            <w:tcBorders>
              <w:top w:val="single" w:sz="8" w:space="0" w:color="auto"/>
              <w:left w:val="single" w:sz="8" w:space="0" w:color="auto"/>
              <w:bottom w:val="single" w:sz="8" w:space="0" w:color="auto"/>
              <w:right w:val="single" w:sz="8" w:space="0" w:color="auto"/>
            </w:tcBorders>
            <w:shd w:val="clear" w:color="auto" w:fill="auto"/>
            <w:vAlign w:val="center"/>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r w:rsidRPr="00EE74A8">
              <w:rPr>
                <w:rFonts w:asciiTheme="majorBidi" w:hAnsiTheme="majorBidi" w:cstheme="majorBidi"/>
                <w:sz w:val="16"/>
                <w:szCs w:val="16"/>
              </w:rPr>
              <w:t>Surian</w:t>
            </w:r>
          </w:p>
        </w:tc>
        <w:tc>
          <w:tcPr>
            <w:tcW w:w="825" w:type="pct"/>
            <w:tcBorders>
              <w:top w:val="single" w:sz="8" w:space="0" w:color="auto"/>
              <w:left w:val="single" w:sz="8" w:space="0" w:color="auto"/>
              <w:bottom w:val="single" w:sz="8" w:space="0" w:color="auto"/>
              <w:right w:val="single" w:sz="8" w:space="0" w:color="auto"/>
            </w:tcBorders>
            <w:shd w:val="clear" w:color="auto" w:fill="auto"/>
            <w:vAlign w:val="center"/>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r w:rsidRPr="00EE74A8">
              <w:rPr>
                <w:rFonts w:asciiTheme="majorBidi" w:hAnsiTheme="majorBidi" w:cstheme="majorBidi"/>
                <w:sz w:val="16"/>
                <w:szCs w:val="16"/>
              </w:rPr>
              <w:t>4</w:t>
            </w:r>
          </w:p>
        </w:tc>
      </w:tr>
      <w:tr w:rsidR="00455650" w:rsidRPr="00EE74A8" w:rsidTr="00FA6CAC">
        <w:tc>
          <w:tcPr>
            <w:tcW w:w="1162" w:type="pct"/>
            <w:tcBorders>
              <w:top w:val="single" w:sz="8" w:space="0" w:color="auto"/>
              <w:left w:val="single" w:sz="8" w:space="0" w:color="auto"/>
              <w:bottom w:val="single" w:sz="8" w:space="0" w:color="auto"/>
              <w:right w:val="single" w:sz="8" w:space="0" w:color="auto"/>
            </w:tcBorders>
            <w:shd w:val="clear" w:color="auto" w:fill="auto"/>
            <w:noWrap/>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p>
        </w:tc>
        <w:tc>
          <w:tcPr>
            <w:tcW w:w="868" w:type="pct"/>
            <w:tcBorders>
              <w:top w:val="single" w:sz="8" w:space="0" w:color="auto"/>
              <w:left w:val="single" w:sz="8" w:space="0" w:color="auto"/>
              <w:bottom w:val="single" w:sz="8" w:space="0" w:color="auto"/>
              <w:right w:val="single" w:sz="8" w:space="0" w:color="auto"/>
            </w:tcBorders>
            <w:shd w:val="clear" w:color="auto" w:fill="auto"/>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p>
        </w:tc>
        <w:tc>
          <w:tcPr>
            <w:tcW w:w="862" w:type="pct"/>
            <w:tcBorders>
              <w:top w:val="single" w:sz="8" w:space="0" w:color="auto"/>
              <w:left w:val="single" w:sz="8" w:space="0" w:color="auto"/>
              <w:bottom w:val="single" w:sz="8" w:space="0" w:color="auto"/>
              <w:right w:val="single" w:sz="8" w:space="0" w:color="auto"/>
            </w:tcBorders>
            <w:shd w:val="clear" w:color="auto" w:fill="auto"/>
            <w:vAlign w:val="center"/>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p>
        </w:tc>
        <w:tc>
          <w:tcPr>
            <w:tcW w:w="1283" w:type="pct"/>
            <w:tcBorders>
              <w:top w:val="single" w:sz="8" w:space="0" w:color="auto"/>
              <w:left w:val="single" w:sz="8" w:space="0" w:color="auto"/>
              <w:bottom w:val="single" w:sz="8" w:space="0" w:color="auto"/>
              <w:right w:val="single" w:sz="8" w:space="0" w:color="auto"/>
            </w:tcBorders>
            <w:shd w:val="clear" w:color="auto" w:fill="auto"/>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p>
        </w:tc>
        <w:tc>
          <w:tcPr>
            <w:tcW w:w="825" w:type="pct"/>
            <w:tcBorders>
              <w:top w:val="single" w:sz="8" w:space="0" w:color="auto"/>
              <w:left w:val="single" w:sz="8" w:space="0" w:color="auto"/>
              <w:bottom w:val="single" w:sz="8" w:space="0" w:color="auto"/>
              <w:right w:val="single" w:sz="8" w:space="0" w:color="auto"/>
            </w:tcBorders>
            <w:shd w:val="clear" w:color="auto" w:fill="auto"/>
            <w:vAlign w:val="center"/>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p>
        </w:tc>
      </w:tr>
      <w:tr w:rsidR="00455650" w:rsidRPr="00EE74A8" w:rsidTr="00FA6CAC">
        <w:tc>
          <w:tcPr>
            <w:tcW w:w="1162" w:type="pct"/>
            <w:tcBorders>
              <w:top w:val="single" w:sz="8" w:space="0" w:color="auto"/>
              <w:left w:val="single" w:sz="8" w:space="0" w:color="auto"/>
              <w:bottom w:val="single" w:sz="8" w:space="0" w:color="auto"/>
              <w:right w:val="single" w:sz="8" w:space="0" w:color="auto"/>
            </w:tcBorders>
            <w:shd w:val="clear" w:color="auto" w:fill="FFFFFF"/>
            <w:noWrap/>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r w:rsidRPr="00EE74A8">
              <w:rPr>
                <w:rFonts w:asciiTheme="majorBidi" w:hAnsiTheme="majorBidi" w:cstheme="majorBidi"/>
                <w:sz w:val="16"/>
                <w:szCs w:val="16"/>
              </w:rPr>
              <w:t>Total</w:t>
            </w:r>
          </w:p>
        </w:tc>
        <w:tc>
          <w:tcPr>
            <w:tcW w:w="868" w:type="pct"/>
            <w:tcBorders>
              <w:top w:val="single" w:sz="8" w:space="0" w:color="auto"/>
              <w:left w:val="single" w:sz="8" w:space="0" w:color="auto"/>
              <w:bottom w:val="single" w:sz="8" w:space="0" w:color="auto"/>
              <w:right w:val="single" w:sz="8" w:space="0" w:color="auto"/>
            </w:tcBorders>
            <w:shd w:val="clear" w:color="auto" w:fill="FFFFFF"/>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p>
        </w:tc>
        <w:tc>
          <w:tcPr>
            <w:tcW w:w="862" w:type="pct"/>
            <w:tcBorders>
              <w:top w:val="single" w:sz="8" w:space="0" w:color="auto"/>
              <w:left w:val="single" w:sz="8" w:space="0" w:color="auto"/>
              <w:bottom w:val="single" w:sz="8" w:space="0" w:color="auto"/>
              <w:right w:val="single" w:sz="8" w:space="0" w:color="auto"/>
            </w:tcBorders>
            <w:shd w:val="clear" w:color="auto" w:fill="FFFFFF"/>
            <w:vAlign w:val="center"/>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r w:rsidRPr="00EE74A8">
              <w:rPr>
                <w:rFonts w:asciiTheme="majorBidi" w:hAnsiTheme="majorBidi" w:cstheme="majorBidi"/>
                <w:sz w:val="16"/>
                <w:szCs w:val="16"/>
              </w:rPr>
              <w:t>84</w:t>
            </w:r>
          </w:p>
        </w:tc>
        <w:tc>
          <w:tcPr>
            <w:tcW w:w="1283" w:type="pct"/>
            <w:tcBorders>
              <w:top w:val="single" w:sz="8" w:space="0" w:color="auto"/>
              <w:left w:val="single" w:sz="8" w:space="0" w:color="auto"/>
              <w:bottom w:val="single" w:sz="8" w:space="0" w:color="auto"/>
              <w:right w:val="single" w:sz="8" w:space="0" w:color="auto"/>
            </w:tcBorders>
            <w:shd w:val="clear" w:color="auto" w:fill="FFFFFF"/>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p>
        </w:tc>
        <w:tc>
          <w:tcPr>
            <w:tcW w:w="825" w:type="pct"/>
            <w:tcBorders>
              <w:top w:val="single" w:sz="8" w:space="0" w:color="auto"/>
              <w:left w:val="single" w:sz="8" w:space="0" w:color="auto"/>
              <w:bottom w:val="single" w:sz="8" w:space="0" w:color="auto"/>
              <w:right w:val="single" w:sz="8" w:space="0" w:color="auto"/>
            </w:tcBorders>
            <w:shd w:val="clear" w:color="auto" w:fill="FFFFFF"/>
            <w:vAlign w:val="center"/>
          </w:tcPr>
          <w:p w:rsidR="00455650" w:rsidRPr="00EE74A8" w:rsidRDefault="00455650" w:rsidP="00EE74A8">
            <w:pPr>
              <w:pStyle w:val="DecimalAligned"/>
              <w:tabs>
                <w:tab w:val="clear" w:pos="360"/>
              </w:tabs>
              <w:spacing w:after="0" w:line="240" w:lineRule="auto"/>
              <w:ind w:left="-104" w:right="-120"/>
              <w:jc w:val="center"/>
              <w:rPr>
                <w:rFonts w:asciiTheme="majorBidi" w:hAnsiTheme="majorBidi" w:cstheme="majorBidi"/>
                <w:sz w:val="16"/>
                <w:szCs w:val="16"/>
              </w:rPr>
            </w:pPr>
            <w:r w:rsidRPr="00EE74A8">
              <w:rPr>
                <w:rFonts w:asciiTheme="majorBidi" w:hAnsiTheme="majorBidi" w:cstheme="majorBidi"/>
                <w:sz w:val="16"/>
                <w:szCs w:val="16"/>
              </w:rPr>
              <w:t>84</w:t>
            </w:r>
          </w:p>
        </w:tc>
      </w:tr>
    </w:tbl>
    <w:p w:rsidR="00185261" w:rsidRDefault="00185261" w:rsidP="00185261">
      <w:pPr>
        <w:tabs>
          <w:tab w:val="left" w:pos="540"/>
          <w:tab w:val="left" w:pos="630"/>
        </w:tabs>
        <w:spacing w:line="360" w:lineRule="auto"/>
        <w:jc w:val="both"/>
        <w:rPr>
          <w:sz w:val="18"/>
          <w:szCs w:val="18"/>
        </w:rPr>
      </w:pPr>
    </w:p>
    <w:p w:rsidR="001D4C03" w:rsidRPr="001D4C03" w:rsidRDefault="001D4C03" w:rsidP="001D4C03">
      <w:pPr>
        <w:widowControl/>
        <w:jc w:val="both"/>
        <w:rPr>
          <w:rFonts w:eastAsia="Times New Roman"/>
          <w:snapToGrid/>
          <w:sz w:val="18"/>
          <w:szCs w:val="18"/>
          <w:lang w:val="en"/>
        </w:rPr>
      </w:pPr>
      <w:r w:rsidRPr="001D4C03">
        <w:rPr>
          <w:rFonts w:eastAsia="Times New Roman"/>
          <w:snapToGrid/>
          <w:sz w:val="18"/>
          <w:szCs w:val="18"/>
          <w:lang w:val="en"/>
        </w:rPr>
        <w:t xml:space="preserve">Tanjungsari Village, Tanjungsari Subdistrict is a village whose </w:t>
      </w:r>
      <w:r w:rsidR="00A36528">
        <w:rPr>
          <w:rFonts w:eastAsia="Times New Roman"/>
          <w:snapToGrid/>
          <w:sz w:val="18"/>
          <w:szCs w:val="18"/>
          <w:lang w:val="en"/>
        </w:rPr>
        <w:t>population</w:t>
      </w:r>
      <w:r w:rsidRPr="001D4C03">
        <w:rPr>
          <w:rFonts w:eastAsia="Times New Roman"/>
          <w:snapToGrid/>
          <w:sz w:val="18"/>
          <w:szCs w:val="18"/>
          <w:lang w:val="en"/>
        </w:rPr>
        <w:t xml:space="preserve"> mostly use LPG for household or business purposes [</w:t>
      </w:r>
      <w:r w:rsidR="00FA5238">
        <w:rPr>
          <w:rFonts w:eastAsia="Times New Roman"/>
          <w:snapToGrid/>
          <w:sz w:val="18"/>
          <w:szCs w:val="18"/>
          <w:lang w:val="en"/>
        </w:rPr>
        <w:t>2</w:t>
      </w:r>
      <w:r w:rsidR="00943675">
        <w:rPr>
          <w:rFonts w:eastAsia="Times New Roman"/>
          <w:snapToGrid/>
          <w:sz w:val="18"/>
          <w:szCs w:val="18"/>
          <w:lang w:val="en"/>
        </w:rPr>
        <w:t>4</w:t>
      </w:r>
      <w:r w:rsidRPr="001D4C03">
        <w:rPr>
          <w:rFonts w:eastAsia="Times New Roman"/>
          <w:snapToGrid/>
          <w:sz w:val="18"/>
          <w:szCs w:val="18"/>
          <w:lang w:val="en"/>
        </w:rPr>
        <w:t>]. Haurngombong Village, Pamu</w:t>
      </w:r>
      <w:r w:rsidR="00FA5238">
        <w:rPr>
          <w:rFonts w:eastAsia="Times New Roman"/>
          <w:snapToGrid/>
          <w:sz w:val="18"/>
          <w:szCs w:val="18"/>
          <w:lang w:val="en"/>
        </w:rPr>
        <w:t>lihan</w:t>
      </w:r>
      <w:r w:rsidRPr="001D4C03">
        <w:rPr>
          <w:rFonts w:eastAsia="Times New Roman"/>
          <w:snapToGrid/>
          <w:sz w:val="18"/>
          <w:szCs w:val="18"/>
          <w:lang w:val="en"/>
        </w:rPr>
        <w:t xml:space="preserve"> </w:t>
      </w:r>
      <w:r w:rsidR="00FA5238">
        <w:rPr>
          <w:rFonts w:eastAsia="Times New Roman"/>
          <w:snapToGrid/>
          <w:sz w:val="18"/>
          <w:szCs w:val="18"/>
          <w:lang w:val="en"/>
        </w:rPr>
        <w:t>Subd</w:t>
      </w:r>
      <w:r w:rsidRPr="001D4C03">
        <w:rPr>
          <w:rFonts w:eastAsia="Times New Roman"/>
          <w:snapToGrid/>
          <w:sz w:val="18"/>
          <w:szCs w:val="18"/>
          <w:lang w:val="en"/>
        </w:rPr>
        <w:t>istrict is the first Energy Independent Village</w:t>
      </w:r>
      <w:r w:rsidR="00FA5238">
        <w:rPr>
          <w:rFonts w:eastAsia="Times New Roman"/>
          <w:snapToGrid/>
          <w:sz w:val="18"/>
          <w:szCs w:val="18"/>
          <w:lang w:val="en"/>
        </w:rPr>
        <w:t xml:space="preserve"> (DME)</w:t>
      </w:r>
      <w:r w:rsidRPr="001D4C03">
        <w:rPr>
          <w:rFonts w:eastAsia="Times New Roman"/>
          <w:snapToGrid/>
          <w:sz w:val="18"/>
          <w:szCs w:val="18"/>
          <w:lang w:val="en"/>
        </w:rPr>
        <w:t xml:space="preserve"> and became a pilot DME in Sumedang [</w:t>
      </w:r>
      <w:r w:rsidR="00FA5238">
        <w:rPr>
          <w:rFonts w:eastAsia="Times New Roman"/>
          <w:snapToGrid/>
          <w:sz w:val="18"/>
          <w:szCs w:val="18"/>
          <w:lang w:val="en"/>
        </w:rPr>
        <w:t>1</w:t>
      </w:r>
      <w:r w:rsidR="00943675">
        <w:rPr>
          <w:rFonts w:eastAsia="Times New Roman"/>
          <w:snapToGrid/>
          <w:sz w:val="18"/>
          <w:szCs w:val="18"/>
          <w:lang w:val="en"/>
        </w:rPr>
        <w:t>6</w:t>
      </w:r>
      <w:r w:rsidRPr="001D4C03">
        <w:rPr>
          <w:rFonts w:eastAsia="Times New Roman"/>
          <w:snapToGrid/>
          <w:sz w:val="18"/>
          <w:szCs w:val="18"/>
          <w:lang w:val="en"/>
        </w:rPr>
        <w:t>]. However, according to data from the Sumedang Regional Government [</w:t>
      </w:r>
      <w:r w:rsidR="00FA5238">
        <w:rPr>
          <w:rFonts w:eastAsia="Times New Roman"/>
          <w:snapToGrid/>
          <w:sz w:val="18"/>
          <w:szCs w:val="18"/>
          <w:lang w:val="en"/>
        </w:rPr>
        <w:t>2</w:t>
      </w:r>
      <w:r w:rsidR="00943675">
        <w:rPr>
          <w:rFonts w:eastAsia="Times New Roman"/>
          <w:snapToGrid/>
          <w:sz w:val="18"/>
          <w:szCs w:val="18"/>
          <w:lang w:val="en"/>
        </w:rPr>
        <w:t>4</w:t>
      </w:r>
      <w:r w:rsidRPr="001D4C03">
        <w:rPr>
          <w:rFonts w:eastAsia="Times New Roman"/>
          <w:snapToGrid/>
          <w:sz w:val="18"/>
          <w:szCs w:val="18"/>
          <w:lang w:val="en"/>
        </w:rPr>
        <w:t xml:space="preserve">], the majority </w:t>
      </w:r>
      <w:r w:rsidR="000217BF">
        <w:rPr>
          <w:rFonts w:eastAsia="Times New Roman"/>
          <w:snapToGrid/>
          <w:sz w:val="18"/>
          <w:szCs w:val="18"/>
          <w:lang w:val="en"/>
        </w:rPr>
        <w:t xml:space="preserve">of the population uses LPG. Pamulihan </w:t>
      </w:r>
      <w:r w:rsidRPr="001D4C03">
        <w:rPr>
          <w:rFonts w:eastAsia="Times New Roman"/>
          <w:snapToGrid/>
          <w:sz w:val="18"/>
          <w:szCs w:val="18"/>
          <w:lang w:val="en"/>
        </w:rPr>
        <w:t>Village, Pam</w:t>
      </w:r>
      <w:r w:rsidR="000217BF">
        <w:rPr>
          <w:rFonts w:eastAsia="Times New Roman"/>
          <w:snapToGrid/>
          <w:sz w:val="18"/>
          <w:szCs w:val="18"/>
          <w:lang w:val="en"/>
        </w:rPr>
        <w:t>ulihan</w:t>
      </w:r>
      <w:r w:rsidRPr="001D4C03">
        <w:rPr>
          <w:rFonts w:eastAsia="Times New Roman"/>
          <w:snapToGrid/>
          <w:sz w:val="18"/>
          <w:szCs w:val="18"/>
          <w:lang w:val="en"/>
        </w:rPr>
        <w:t xml:space="preserve"> </w:t>
      </w:r>
      <w:r w:rsidR="000217BF">
        <w:rPr>
          <w:rFonts w:eastAsia="Times New Roman"/>
          <w:snapToGrid/>
          <w:sz w:val="18"/>
          <w:szCs w:val="18"/>
          <w:lang w:val="en"/>
        </w:rPr>
        <w:t>Subd</w:t>
      </w:r>
      <w:r w:rsidRPr="001D4C03">
        <w:rPr>
          <w:rFonts w:eastAsia="Times New Roman"/>
          <w:snapToGrid/>
          <w:sz w:val="18"/>
          <w:szCs w:val="18"/>
          <w:lang w:val="en"/>
        </w:rPr>
        <w:t xml:space="preserve">istrict is a village where most of the population uses firewood for household and business purposes. Kebonjati Village, North Sumedang Subdistrict is a village whose </w:t>
      </w:r>
      <w:r w:rsidR="00A36528">
        <w:rPr>
          <w:rFonts w:eastAsia="Times New Roman"/>
          <w:snapToGrid/>
          <w:sz w:val="18"/>
          <w:szCs w:val="18"/>
          <w:lang w:val="en"/>
        </w:rPr>
        <w:t>population</w:t>
      </w:r>
      <w:r w:rsidRPr="001D4C03">
        <w:rPr>
          <w:rFonts w:eastAsia="Times New Roman"/>
          <w:snapToGrid/>
          <w:sz w:val="18"/>
          <w:szCs w:val="18"/>
          <w:lang w:val="en"/>
        </w:rPr>
        <w:t xml:space="preserve"> mostly use LPG [</w:t>
      </w:r>
      <w:r w:rsidR="00FA5238">
        <w:rPr>
          <w:rFonts w:eastAsia="Times New Roman"/>
          <w:snapToGrid/>
          <w:sz w:val="18"/>
          <w:szCs w:val="18"/>
          <w:lang w:val="en"/>
        </w:rPr>
        <w:t>2</w:t>
      </w:r>
      <w:r w:rsidR="00943675">
        <w:rPr>
          <w:rFonts w:eastAsia="Times New Roman"/>
          <w:snapToGrid/>
          <w:sz w:val="18"/>
          <w:szCs w:val="18"/>
          <w:lang w:val="en"/>
        </w:rPr>
        <w:t>4</w:t>
      </w:r>
      <w:r w:rsidRPr="001D4C03">
        <w:rPr>
          <w:rFonts w:eastAsia="Times New Roman"/>
          <w:snapToGrid/>
          <w:sz w:val="18"/>
          <w:szCs w:val="18"/>
          <w:lang w:val="en"/>
        </w:rPr>
        <w:t>]. But the results of observations on the first visit at the center of tofu craftsmen in Kebonjati on October 27, 2018, there were 9 tofu craftsmen who used rice</w:t>
      </w:r>
      <w:r w:rsidRPr="001D4C03">
        <w:rPr>
          <w:rFonts w:eastAsia="Times New Roman"/>
          <w:snapToGrid/>
          <w:sz w:val="24"/>
          <w:szCs w:val="24"/>
          <w:lang w:val="en"/>
        </w:rPr>
        <w:t xml:space="preserve"> </w:t>
      </w:r>
      <w:r w:rsidRPr="001D4C03">
        <w:rPr>
          <w:rFonts w:eastAsia="Times New Roman"/>
          <w:snapToGrid/>
          <w:sz w:val="18"/>
          <w:szCs w:val="18"/>
          <w:lang w:val="en"/>
        </w:rPr>
        <w:t xml:space="preserve">husks. Tamansari Village, Cibugel </w:t>
      </w:r>
      <w:r w:rsidR="00943675">
        <w:rPr>
          <w:rFonts w:eastAsia="Times New Roman"/>
          <w:snapToGrid/>
          <w:sz w:val="18"/>
          <w:szCs w:val="18"/>
          <w:lang w:val="en"/>
        </w:rPr>
        <w:t>Subd</w:t>
      </w:r>
      <w:r w:rsidRPr="001D4C03">
        <w:rPr>
          <w:rFonts w:eastAsia="Times New Roman"/>
          <w:snapToGrid/>
          <w:sz w:val="18"/>
          <w:szCs w:val="18"/>
          <w:lang w:val="en"/>
        </w:rPr>
        <w:t>istrict is a village where most of the population uses kerosene [</w:t>
      </w:r>
      <w:r w:rsidR="00FA5238">
        <w:rPr>
          <w:rFonts w:eastAsia="Times New Roman"/>
          <w:snapToGrid/>
          <w:sz w:val="18"/>
          <w:szCs w:val="18"/>
          <w:lang w:val="en"/>
        </w:rPr>
        <w:t>2</w:t>
      </w:r>
      <w:r w:rsidR="000217BF">
        <w:rPr>
          <w:rFonts w:eastAsia="Times New Roman"/>
          <w:snapToGrid/>
          <w:sz w:val="18"/>
          <w:szCs w:val="18"/>
          <w:lang w:val="en"/>
        </w:rPr>
        <w:t>5</w:t>
      </w:r>
      <w:r w:rsidRPr="001D4C03">
        <w:rPr>
          <w:rFonts w:eastAsia="Times New Roman"/>
          <w:snapToGrid/>
          <w:sz w:val="18"/>
          <w:szCs w:val="18"/>
          <w:lang w:val="en"/>
        </w:rPr>
        <w:t>]. Surian Village, Surian Subdistrict is one of nine villages where the majority of the population uses firewood.</w:t>
      </w:r>
    </w:p>
    <w:p w:rsidR="00455650" w:rsidRDefault="00455650" w:rsidP="00185261">
      <w:pPr>
        <w:tabs>
          <w:tab w:val="left" w:pos="540"/>
          <w:tab w:val="left" w:pos="630"/>
        </w:tabs>
        <w:spacing w:line="360" w:lineRule="auto"/>
        <w:jc w:val="both"/>
        <w:rPr>
          <w:sz w:val="18"/>
          <w:szCs w:val="18"/>
        </w:rPr>
      </w:pPr>
    </w:p>
    <w:p w:rsidR="001D4C03" w:rsidRDefault="00FA5238" w:rsidP="001D4C03">
      <w:pPr>
        <w:tabs>
          <w:tab w:val="left" w:pos="540"/>
          <w:tab w:val="left" w:pos="630"/>
        </w:tabs>
        <w:jc w:val="both"/>
        <w:rPr>
          <w:sz w:val="18"/>
          <w:szCs w:val="18"/>
          <w:lang w:val="en"/>
        </w:rPr>
      </w:pPr>
      <w:r w:rsidRPr="00FA5238">
        <w:rPr>
          <w:rStyle w:val="tlid-translation"/>
          <w:b/>
          <w:sz w:val="18"/>
          <w:szCs w:val="18"/>
          <w:lang w:val="en"/>
        </w:rPr>
        <w:t>2</w:t>
      </w:r>
      <w:r w:rsidR="001D4C03" w:rsidRPr="00FA5238">
        <w:rPr>
          <w:rStyle w:val="tlid-translation"/>
          <w:b/>
          <w:sz w:val="18"/>
          <w:szCs w:val="18"/>
          <w:lang w:val="en"/>
        </w:rPr>
        <w:t>.</w:t>
      </w:r>
      <w:r w:rsidRPr="00FA5238">
        <w:rPr>
          <w:rStyle w:val="tlid-translation"/>
          <w:b/>
          <w:sz w:val="18"/>
          <w:szCs w:val="18"/>
          <w:lang w:val="en"/>
        </w:rPr>
        <w:t>3</w:t>
      </w:r>
      <w:r w:rsidR="001D4C03">
        <w:rPr>
          <w:rStyle w:val="tlid-translation"/>
          <w:sz w:val="18"/>
          <w:szCs w:val="18"/>
          <w:lang w:val="en"/>
        </w:rPr>
        <w:t xml:space="preserve"> </w:t>
      </w:r>
      <w:r w:rsidR="00FA6CAC">
        <w:rPr>
          <w:rStyle w:val="tlid-translation"/>
          <w:sz w:val="18"/>
          <w:szCs w:val="18"/>
          <w:lang w:val="en"/>
        </w:rPr>
        <w:t xml:space="preserve"> </w:t>
      </w:r>
      <w:r w:rsidR="001D4C03" w:rsidRPr="001D4C03">
        <w:rPr>
          <w:rStyle w:val="tlid-translation"/>
          <w:b/>
          <w:sz w:val="18"/>
          <w:szCs w:val="18"/>
          <w:lang w:val="en"/>
        </w:rPr>
        <w:t>Types and Data Sources</w:t>
      </w:r>
    </w:p>
    <w:p w:rsidR="00FA6CAC" w:rsidRDefault="001D4C03" w:rsidP="001D4C03">
      <w:pPr>
        <w:tabs>
          <w:tab w:val="left" w:pos="540"/>
          <w:tab w:val="left" w:pos="630"/>
        </w:tabs>
        <w:jc w:val="both"/>
        <w:rPr>
          <w:rStyle w:val="tlid-translation"/>
          <w:sz w:val="18"/>
          <w:szCs w:val="18"/>
          <w:lang w:val="en"/>
        </w:rPr>
      </w:pPr>
      <w:r w:rsidRPr="001D4C03">
        <w:rPr>
          <w:rStyle w:val="tlid-translation"/>
          <w:sz w:val="18"/>
          <w:szCs w:val="18"/>
          <w:lang w:val="en"/>
        </w:rPr>
        <w:t>The type of data used in this study are primary and secondary data. Primary data obtained from survey results. Secondary data were obtained from several sources both through direct visits and from websites [1,</w:t>
      </w:r>
      <w:r w:rsidR="00FA5238">
        <w:rPr>
          <w:rStyle w:val="tlid-translation"/>
          <w:sz w:val="18"/>
          <w:szCs w:val="18"/>
          <w:lang w:val="en"/>
        </w:rPr>
        <w:t>1</w:t>
      </w:r>
      <w:r w:rsidR="000217BF">
        <w:rPr>
          <w:rStyle w:val="tlid-translation"/>
          <w:sz w:val="18"/>
          <w:szCs w:val="18"/>
          <w:lang w:val="en"/>
        </w:rPr>
        <w:t>4</w:t>
      </w:r>
      <w:r w:rsidR="00FA5238">
        <w:rPr>
          <w:rStyle w:val="tlid-translation"/>
          <w:sz w:val="18"/>
          <w:szCs w:val="18"/>
          <w:lang w:val="en"/>
        </w:rPr>
        <w:t>,1</w:t>
      </w:r>
      <w:r w:rsidR="000217BF">
        <w:rPr>
          <w:rStyle w:val="tlid-translation"/>
          <w:sz w:val="18"/>
          <w:szCs w:val="18"/>
          <w:lang w:val="en"/>
        </w:rPr>
        <w:t>5</w:t>
      </w:r>
      <w:r w:rsidR="00FA5238">
        <w:rPr>
          <w:rStyle w:val="tlid-translation"/>
          <w:sz w:val="18"/>
          <w:szCs w:val="18"/>
          <w:lang w:val="en"/>
        </w:rPr>
        <w:t>,1</w:t>
      </w:r>
      <w:r w:rsidR="000217BF">
        <w:rPr>
          <w:rStyle w:val="tlid-translation"/>
          <w:sz w:val="18"/>
          <w:szCs w:val="18"/>
          <w:lang w:val="en"/>
        </w:rPr>
        <w:t>6</w:t>
      </w:r>
      <w:r w:rsidR="00FA5238">
        <w:rPr>
          <w:rStyle w:val="tlid-translation"/>
          <w:sz w:val="18"/>
          <w:szCs w:val="18"/>
          <w:lang w:val="en"/>
        </w:rPr>
        <w:t>,1</w:t>
      </w:r>
      <w:r w:rsidR="000217BF">
        <w:rPr>
          <w:rStyle w:val="tlid-translation"/>
          <w:sz w:val="18"/>
          <w:szCs w:val="18"/>
          <w:lang w:val="en"/>
        </w:rPr>
        <w:t>8,25</w:t>
      </w:r>
      <w:r w:rsidR="00FA5238">
        <w:rPr>
          <w:rStyle w:val="tlid-translation"/>
          <w:sz w:val="18"/>
          <w:szCs w:val="18"/>
          <w:lang w:val="en"/>
        </w:rPr>
        <w:t>,2</w:t>
      </w:r>
      <w:r w:rsidR="000217BF">
        <w:rPr>
          <w:rStyle w:val="tlid-translation"/>
          <w:sz w:val="18"/>
          <w:szCs w:val="18"/>
          <w:lang w:val="en"/>
        </w:rPr>
        <w:t>6</w:t>
      </w:r>
      <w:r w:rsidRPr="001D4C03">
        <w:rPr>
          <w:rStyle w:val="tlid-translation"/>
          <w:sz w:val="18"/>
          <w:szCs w:val="18"/>
          <w:lang w:val="en"/>
        </w:rPr>
        <w:t>].</w:t>
      </w:r>
    </w:p>
    <w:p w:rsidR="00FA6CAC" w:rsidRDefault="001D4C03" w:rsidP="001D4C03">
      <w:pPr>
        <w:tabs>
          <w:tab w:val="left" w:pos="540"/>
          <w:tab w:val="left" w:pos="630"/>
        </w:tabs>
        <w:jc w:val="both"/>
        <w:rPr>
          <w:rStyle w:val="tlid-translation"/>
          <w:b/>
          <w:sz w:val="18"/>
          <w:szCs w:val="18"/>
          <w:lang w:val="en"/>
        </w:rPr>
      </w:pPr>
      <w:r w:rsidRPr="001D4C03">
        <w:rPr>
          <w:sz w:val="18"/>
          <w:szCs w:val="18"/>
          <w:lang w:val="en"/>
        </w:rPr>
        <w:br/>
      </w:r>
      <w:r w:rsidRPr="001D4C03">
        <w:rPr>
          <w:sz w:val="18"/>
          <w:szCs w:val="18"/>
          <w:lang w:val="en"/>
        </w:rPr>
        <w:br/>
      </w:r>
      <w:r w:rsidRPr="001D4C03">
        <w:rPr>
          <w:sz w:val="18"/>
          <w:szCs w:val="18"/>
          <w:lang w:val="en"/>
        </w:rPr>
        <w:br/>
      </w:r>
      <w:r w:rsidRPr="001D4C03">
        <w:rPr>
          <w:sz w:val="18"/>
          <w:szCs w:val="18"/>
          <w:lang w:val="en"/>
        </w:rPr>
        <w:br/>
      </w:r>
      <w:r w:rsidR="00FA5238" w:rsidRPr="00FA5238">
        <w:rPr>
          <w:rStyle w:val="tlid-translation"/>
          <w:b/>
          <w:sz w:val="18"/>
          <w:szCs w:val="18"/>
          <w:lang w:val="en"/>
        </w:rPr>
        <w:t>2</w:t>
      </w:r>
      <w:r w:rsidRPr="00FA5238">
        <w:rPr>
          <w:rStyle w:val="tlid-translation"/>
          <w:b/>
          <w:sz w:val="18"/>
          <w:szCs w:val="18"/>
          <w:lang w:val="en"/>
        </w:rPr>
        <w:t>.</w:t>
      </w:r>
      <w:r w:rsidR="00FA5238" w:rsidRPr="00FA5238">
        <w:rPr>
          <w:rStyle w:val="tlid-translation"/>
          <w:b/>
          <w:sz w:val="18"/>
          <w:szCs w:val="18"/>
          <w:lang w:val="en"/>
        </w:rPr>
        <w:t>4</w:t>
      </w:r>
      <w:r w:rsidRPr="00FA5238">
        <w:rPr>
          <w:rStyle w:val="tlid-translation"/>
          <w:b/>
          <w:sz w:val="18"/>
          <w:szCs w:val="18"/>
          <w:lang w:val="en"/>
        </w:rPr>
        <w:t xml:space="preserve"> Survey Implementation</w:t>
      </w:r>
    </w:p>
    <w:p w:rsidR="00FA6CAC" w:rsidRDefault="001D4C03" w:rsidP="001D4C03">
      <w:pPr>
        <w:tabs>
          <w:tab w:val="left" w:pos="540"/>
          <w:tab w:val="left" w:pos="630"/>
        </w:tabs>
        <w:jc w:val="both"/>
        <w:rPr>
          <w:rStyle w:val="tlid-translation"/>
          <w:b/>
          <w:sz w:val="18"/>
          <w:szCs w:val="18"/>
          <w:lang w:val="en"/>
        </w:rPr>
      </w:pPr>
      <w:r w:rsidRPr="001D4C03">
        <w:rPr>
          <w:rStyle w:val="tlid-translation"/>
          <w:sz w:val="18"/>
          <w:szCs w:val="18"/>
          <w:lang w:val="en"/>
        </w:rPr>
        <w:t xml:space="preserve">The survey was conducted by means of qualitative interviews through face-to-face or filling out survey forms online. </w:t>
      </w:r>
      <w:r w:rsidRPr="001D4C03">
        <w:rPr>
          <w:sz w:val="18"/>
          <w:szCs w:val="18"/>
          <w:lang w:val="en"/>
        </w:rPr>
        <w:br/>
      </w:r>
      <w:r w:rsidRPr="001D4C03">
        <w:rPr>
          <w:sz w:val="18"/>
          <w:szCs w:val="18"/>
          <w:lang w:val="en"/>
        </w:rPr>
        <w:br/>
      </w:r>
      <w:r w:rsidR="00FA5238" w:rsidRPr="00FA5238">
        <w:rPr>
          <w:rStyle w:val="tlid-translation"/>
          <w:b/>
          <w:sz w:val="18"/>
          <w:szCs w:val="18"/>
          <w:lang w:val="en"/>
        </w:rPr>
        <w:t>2</w:t>
      </w:r>
      <w:r w:rsidRPr="00FA5238">
        <w:rPr>
          <w:rStyle w:val="tlid-translation"/>
          <w:b/>
          <w:sz w:val="18"/>
          <w:szCs w:val="18"/>
          <w:lang w:val="en"/>
        </w:rPr>
        <w:t>.</w:t>
      </w:r>
      <w:r w:rsidR="00FA5238" w:rsidRPr="00FA5238">
        <w:rPr>
          <w:rStyle w:val="tlid-translation"/>
          <w:b/>
          <w:sz w:val="18"/>
          <w:szCs w:val="18"/>
          <w:lang w:val="en"/>
        </w:rPr>
        <w:t>5</w:t>
      </w:r>
      <w:r w:rsidRPr="00FA5238">
        <w:rPr>
          <w:rStyle w:val="tlid-translation"/>
          <w:b/>
          <w:sz w:val="18"/>
          <w:szCs w:val="18"/>
          <w:lang w:val="en"/>
        </w:rPr>
        <w:t xml:space="preserve"> Primary Data Collection in Sumedang</w:t>
      </w:r>
    </w:p>
    <w:p w:rsidR="001D4C03" w:rsidRDefault="001D4C03" w:rsidP="001D4C03">
      <w:pPr>
        <w:tabs>
          <w:tab w:val="left" w:pos="540"/>
          <w:tab w:val="left" w:pos="630"/>
        </w:tabs>
        <w:jc w:val="both"/>
        <w:rPr>
          <w:rStyle w:val="tlid-translation"/>
          <w:sz w:val="18"/>
          <w:szCs w:val="18"/>
          <w:lang w:val="en"/>
        </w:rPr>
      </w:pPr>
      <w:r w:rsidRPr="001D4C03">
        <w:rPr>
          <w:rStyle w:val="tlid-translation"/>
          <w:sz w:val="18"/>
          <w:szCs w:val="18"/>
          <w:lang w:val="en"/>
        </w:rPr>
        <w:t xml:space="preserve">The population survey was conducted face-to-face and online. Online system is prepared using free facilities from Google Forms: Free Online Surveys for Personal Use. Data collected through a face-to-face survey was entered into Google Forms, https://goo.gl/forms/BmZnHElcvuUVchpN2 uploaded since 6 December 2018. The face-to-face survey was conducted on 16 December 2018, 17 December 2018, 18 December 2018, 23 December 2018 and 30 December 2018. Realization of 85 face-to-face samples, 16 online, totaling 101 exceeding the initial target of 84 as shown in Table </w:t>
      </w:r>
      <w:r w:rsidR="00FA5238">
        <w:rPr>
          <w:rStyle w:val="tlid-translation"/>
          <w:sz w:val="18"/>
          <w:szCs w:val="18"/>
          <w:lang w:val="en"/>
        </w:rPr>
        <w:t>2</w:t>
      </w:r>
      <w:r w:rsidRPr="001D4C03">
        <w:rPr>
          <w:rStyle w:val="tlid-translation"/>
          <w:sz w:val="18"/>
          <w:szCs w:val="18"/>
          <w:lang w:val="en"/>
        </w:rPr>
        <w:t>.2.</w:t>
      </w:r>
    </w:p>
    <w:p w:rsidR="00B83EDF" w:rsidRDefault="00B83EDF" w:rsidP="001D4C03">
      <w:pPr>
        <w:tabs>
          <w:tab w:val="left" w:pos="540"/>
          <w:tab w:val="left" w:pos="630"/>
        </w:tabs>
        <w:jc w:val="both"/>
        <w:rPr>
          <w:rStyle w:val="tlid-translation"/>
          <w:sz w:val="18"/>
          <w:szCs w:val="18"/>
          <w:lang w:val="en"/>
        </w:rPr>
      </w:pPr>
    </w:p>
    <w:p w:rsidR="00B83EDF" w:rsidRDefault="00B83EDF" w:rsidP="00B83EDF">
      <w:pPr>
        <w:jc w:val="center"/>
        <w:rPr>
          <w:sz w:val="18"/>
          <w:szCs w:val="18"/>
        </w:rPr>
      </w:pPr>
      <w:r>
        <w:rPr>
          <w:sz w:val="18"/>
          <w:szCs w:val="18"/>
        </w:rPr>
        <w:t>Tab</w:t>
      </w:r>
      <w:r w:rsidR="00512245">
        <w:rPr>
          <w:sz w:val="18"/>
          <w:szCs w:val="18"/>
        </w:rPr>
        <w:t>l</w:t>
      </w:r>
      <w:r>
        <w:rPr>
          <w:sz w:val="18"/>
          <w:szCs w:val="18"/>
        </w:rPr>
        <w:t>e 2.2</w:t>
      </w:r>
    </w:p>
    <w:p w:rsidR="00B83EDF" w:rsidRPr="00FA5238" w:rsidRDefault="00B83EDF" w:rsidP="00B83EDF">
      <w:pPr>
        <w:jc w:val="center"/>
        <w:rPr>
          <w:sz w:val="18"/>
          <w:szCs w:val="18"/>
        </w:rPr>
      </w:pPr>
      <w:r w:rsidRPr="00FA5238">
        <w:rPr>
          <w:sz w:val="18"/>
          <w:szCs w:val="18"/>
        </w:rPr>
        <w:t>Reali</w:t>
      </w:r>
      <w:r w:rsidR="00F721A6" w:rsidRPr="00FA5238">
        <w:rPr>
          <w:sz w:val="18"/>
          <w:szCs w:val="18"/>
        </w:rPr>
        <w:t>zation of Research Sites and Samples</w:t>
      </w:r>
    </w:p>
    <w:tbl>
      <w:tblPr>
        <w:tblW w:w="5045" w:type="pct"/>
        <w:tblInd w:w="-10" w:type="dxa"/>
        <w:tblBorders>
          <w:top w:val="single" w:sz="18" w:space="0" w:color="auto"/>
          <w:bottom w:val="single" w:sz="18" w:space="0" w:color="auto"/>
        </w:tblBorders>
        <w:tblLayout w:type="fixed"/>
        <w:tblLook w:val="0660" w:firstRow="1" w:lastRow="1" w:firstColumn="0" w:lastColumn="0" w:noHBand="1" w:noVBand="1"/>
      </w:tblPr>
      <w:tblGrid>
        <w:gridCol w:w="1266"/>
        <w:gridCol w:w="1229"/>
        <w:gridCol w:w="759"/>
        <w:gridCol w:w="676"/>
        <w:gridCol w:w="774"/>
      </w:tblGrid>
      <w:tr w:rsidR="00F721A6" w:rsidRPr="00FA6CAC" w:rsidTr="00FA6CAC">
        <w:tc>
          <w:tcPr>
            <w:tcW w:w="1345" w:type="pct"/>
            <w:vMerge w:val="restart"/>
            <w:tcBorders>
              <w:top w:val="single" w:sz="8" w:space="0" w:color="auto"/>
              <w:left w:val="single" w:sz="8" w:space="0" w:color="auto"/>
              <w:right w:val="single" w:sz="8" w:space="0" w:color="auto"/>
            </w:tcBorders>
            <w:shd w:val="clear" w:color="auto" w:fill="auto"/>
            <w:noWrap/>
            <w:vAlign w:val="center"/>
          </w:tcPr>
          <w:p w:rsidR="00F721A6" w:rsidRPr="00FA6CAC" w:rsidRDefault="00F721A6" w:rsidP="00FA6CAC">
            <w:pPr>
              <w:jc w:val="center"/>
              <w:rPr>
                <w:sz w:val="16"/>
                <w:szCs w:val="16"/>
              </w:rPr>
            </w:pPr>
            <w:r w:rsidRPr="00FA6CAC">
              <w:rPr>
                <w:sz w:val="16"/>
                <w:szCs w:val="16"/>
              </w:rPr>
              <w:t xml:space="preserve">Selected </w:t>
            </w:r>
            <w:r w:rsidR="00C66EAE">
              <w:rPr>
                <w:sz w:val="16"/>
                <w:szCs w:val="16"/>
                <w:lang w:val="en-US"/>
              </w:rPr>
              <w:t>Subd</w:t>
            </w:r>
            <w:r w:rsidRPr="00FA6CAC">
              <w:rPr>
                <w:sz w:val="16"/>
                <w:szCs w:val="16"/>
              </w:rPr>
              <w:t>istrics</w:t>
            </w:r>
          </w:p>
        </w:tc>
        <w:tc>
          <w:tcPr>
            <w:tcW w:w="1306" w:type="pct"/>
            <w:vMerge w:val="restart"/>
            <w:tcBorders>
              <w:top w:val="single" w:sz="8" w:space="0" w:color="auto"/>
              <w:left w:val="single" w:sz="8" w:space="0" w:color="auto"/>
              <w:right w:val="single" w:sz="8" w:space="0" w:color="auto"/>
            </w:tcBorders>
            <w:shd w:val="clear" w:color="auto" w:fill="auto"/>
            <w:vAlign w:val="center"/>
          </w:tcPr>
          <w:p w:rsidR="00F721A6" w:rsidRPr="00FA6CAC" w:rsidRDefault="00F721A6" w:rsidP="00FA6CAC">
            <w:pPr>
              <w:jc w:val="center"/>
              <w:rPr>
                <w:sz w:val="16"/>
                <w:szCs w:val="16"/>
              </w:rPr>
            </w:pPr>
            <w:r w:rsidRPr="00FA6CAC">
              <w:rPr>
                <w:sz w:val="16"/>
                <w:szCs w:val="16"/>
              </w:rPr>
              <w:t>Surveyed Village</w:t>
            </w:r>
          </w:p>
        </w:tc>
        <w:tc>
          <w:tcPr>
            <w:tcW w:w="2349" w:type="pct"/>
            <w:gridSpan w:val="3"/>
            <w:tcBorders>
              <w:top w:val="single" w:sz="8" w:space="0" w:color="auto"/>
              <w:left w:val="single" w:sz="8" w:space="0" w:color="auto"/>
              <w:bottom w:val="single" w:sz="8" w:space="0" w:color="auto"/>
              <w:right w:val="single" w:sz="8" w:space="0" w:color="auto"/>
            </w:tcBorders>
            <w:shd w:val="clear" w:color="auto" w:fill="auto"/>
            <w:vAlign w:val="center"/>
          </w:tcPr>
          <w:p w:rsidR="00F721A6" w:rsidRPr="00FA6CAC" w:rsidRDefault="00F721A6" w:rsidP="00F721A6">
            <w:pPr>
              <w:jc w:val="center"/>
              <w:rPr>
                <w:sz w:val="16"/>
                <w:szCs w:val="16"/>
              </w:rPr>
            </w:pPr>
            <w:r w:rsidRPr="00FA6CAC">
              <w:rPr>
                <w:sz w:val="16"/>
                <w:szCs w:val="16"/>
              </w:rPr>
              <w:t>Number of Realized Samples</w:t>
            </w:r>
          </w:p>
        </w:tc>
      </w:tr>
      <w:tr w:rsidR="00F721A6" w:rsidRPr="00FA6CAC" w:rsidTr="00FA6CAC">
        <w:tc>
          <w:tcPr>
            <w:tcW w:w="1345" w:type="pct"/>
            <w:vMerge/>
            <w:tcBorders>
              <w:left w:val="single" w:sz="8" w:space="0" w:color="auto"/>
              <w:bottom w:val="single" w:sz="8" w:space="0" w:color="auto"/>
              <w:right w:val="single" w:sz="8" w:space="0" w:color="auto"/>
            </w:tcBorders>
            <w:shd w:val="clear" w:color="auto" w:fill="auto"/>
            <w:noWrap/>
            <w:vAlign w:val="center"/>
          </w:tcPr>
          <w:p w:rsidR="00F721A6" w:rsidRPr="00FA6CAC" w:rsidRDefault="00F721A6" w:rsidP="00F721A6">
            <w:pPr>
              <w:rPr>
                <w:sz w:val="16"/>
                <w:szCs w:val="16"/>
              </w:rPr>
            </w:pPr>
          </w:p>
        </w:tc>
        <w:tc>
          <w:tcPr>
            <w:tcW w:w="1306" w:type="pct"/>
            <w:vMerge/>
            <w:tcBorders>
              <w:left w:val="single" w:sz="8" w:space="0" w:color="auto"/>
              <w:bottom w:val="single" w:sz="8" w:space="0" w:color="auto"/>
              <w:right w:val="single" w:sz="8" w:space="0" w:color="auto"/>
            </w:tcBorders>
            <w:shd w:val="clear" w:color="auto" w:fill="auto"/>
          </w:tcPr>
          <w:p w:rsidR="00F721A6" w:rsidRPr="00FA6CAC" w:rsidRDefault="00F721A6" w:rsidP="00F721A6">
            <w:pPr>
              <w:rPr>
                <w:sz w:val="16"/>
                <w:szCs w:val="16"/>
              </w:rPr>
            </w:pPr>
          </w:p>
        </w:tc>
        <w:tc>
          <w:tcPr>
            <w:tcW w:w="807" w:type="pct"/>
            <w:tcBorders>
              <w:top w:val="single" w:sz="8" w:space="0" w:color="auto"/>
              <w:left w:val="single" w:sz="8" w:space="0" w:color="auto"/>
              <w:bottom w:val="single" w:sz="8" w:space="0" w:color="auto"/>
              <w:right w:val="single" w:sz="8" w:space="0" w:color="auto"/>
            </w:tcBorders>
            <w:shd w:val="clear" w:color="auto" w:fill="auto"/>
            <w:vAlign w:val="center"/>
          </w:tcPr>
          <w:p w:rsidR="00F721A6" w:rsidRPr="00FA6CAC" w:rsidRDefault="00F721A6" w:rsidP="00F721A6">
            <w:pPr>
              <w:jc w:val="center"/>
              <w:rPr>
                <w:sz w:val="16"/>
                <w:szCs w:val="16"/>
              </w:rPr>
            </w:pPr>
            <w:r w:rsidRPr="00FA6CAC">
              <w:rPr>
                <w:sz w:val="16"/>
                <w:szCs w:val="16"/>
              </w:rPr>
              <w:t>Face to Face</w:t>
            </w:r>
          </w:p>
        </w:tc>
        <w:tc>
          <w:tcPr>
            <w:tcW w:w="719" w:type="pct"/>
            <w:tcBorders>
              <w:top w:val="single" w:sz="8" w:space="0" w:color="auto"/>
              <w:left w:val="single" w:sz="8" w:space="0" w:color="auto"/>
              <w:bottom w:val="single" w:sz="8" w:space="0" w:color="auto"/>
              <w:right w:val="single" w:sz="8" w:space="0" w:color="auto"/>
            </w:tcBorders>
            <w:shd w:val="clear" w:color="auto" w:fill="auto"/>
            <w:vAlign w:val="center"/>
          </w:tcPr>
          <w:p w:rsidR="00F721A6" w:rsidRPr="00FA6CAC" w:rsidRDefault="00F721A6" w:rsidP="00A664F9">
            <w:pPr>
              <w:jc w:val="center"/>
              <w:rPr>
                <w:sz w:val="16"/>
                <w:szCs w:val="16"/>
              </w:rPr>
            </w:pPr>
            <w:r w:rsidRPr="00FA6CAC">
              <w:rPr>
                <w:sz w:val="16"/>
                <w:szCs w:val="16"/>
              </w:rPr>
              <w:t>On-line</w:t>
            </w:r>
          </w:p>
        </w:tc>
        <w:tc>
          <w:tcPr>
            <w:tcW w:w="823" w:type="pct"/>
            <w:tcBorders>
              <w:top w:val="single" w:sz="8" w:space="0" w:color="auto"/>
              <w:left w:val="single" w:sz="8" w:space="0" w:color="auto"/>
              <w:bottom w:val="single" w:sz="8" w:space="0" w:color="auto"/>
              <w:right w:val="single" w:sz="8" w:space="0" w:color="auto"/>
            </w:tcBorders>
            <w:shd w:val="clear" w:color="auto" w:fill="auto"/>
            <w:vAlign w:val="center"/>
          </w:tcPr>
          <w:p w:rsidR="00F721A6" w:rsidRPr="00FA6CAC" w:rsidRDefault="00F721A6" w:rsidP="00F721A6">
            <w:pPr>
              <w:jc w:val="center"/>
              <w:rPr>
                <w:sz w:val="16"/>
                <w:szCs w:val="16"/>
              </w:rPr>
            </w:pPr>
            <w:r w:rsidRPr="00FA6CAC">
              <w:rPr>
                <w:sz w:val="16"/>
                <w:szCs w:val="16"/>
              </w:rPr>
              <w:t>Total</w:t>
            </w:r>
          </w:p>
        </w:tc>
      </w:tr>
      <w:tr w:rsidR="00B83EDF" w:rsidRPr="00FA6CAC" w:rsidTr="00FA6CAC">
        <w:tc>
          <w:tcPr>
            <w:tcW w:w="1345" w:type="pct"/>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B83EDF" w:rsidRPr="00FA6CAC" w:rsidRDefault="00B83EDF" w:rsidP="00F721A6">
            <w:pPr>
              <w:rPr>
                <w:sz w:val="16"/>
                <w:szCs w:val="16"/>
              </w:rPr>
            </w:pPr>
            <w:r w:rsidRPr="00FA6CAC">
              <w:rPr>
                <w:sz w:val="16"/>
                <w:szCs w:val="16"/>
              </w:rPr>
              <w:t>Tanjungsari</w:t>
            </w:r>
          </w:p>
        </w:tc>
        <w:tc>
          <w:tcPr>
            <w:tcW w:w="1306"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rPr>
                <w:sz w:val="16"/>
                <w:szCs w:val="16"/>
              </w:rPr>
            </w:pPr>
            <w:r w:rsidRPr="00FA6CAC">
              <w:rPr>
                <w:sz w:val="16"/>
                <w:szCs w:val="16"/>
              </w:rPr>
              <w:t>Tanjungsari</w:t>
            </w:r>
          </w:p>
        </w:tc>
        <w:tc>
          <w:tcPr>
            <w:tcW w:w="807" w:type="pct"/>
            <w:tcBorders>
              <w:top w:val="single" w:sz="8" w:space="0" w:color="auto"/>
              <w:left w:val="single" w:sz="8" w:space="0" w:color="auto"/>
              <w:bottom w:val="single" w:sz="8" w:space="0" w:color="auto"/>
              <w:right w:val="single" w:sz="8" w:space="0" w:color="auto"/>
            </w:tcBorders>
            <w:shd w:val="clear" w:color="auto" w:fill="auto"/>
            <w:vAlign w:val="center"/>
          </w:tcPr>
          <w:p w:rsidR="00B83EDF" w:rsidRPr="00FA6CAC" w:rsidRDefault="00B83EDF" w:rsidP="00F721A6">
            <w:pPr>
              <w:jc w:val="center"/>
              <w:rPr>
                <w:sz w:val="16"/>
                <w:szCs w:val="16"/>
              </w:rPr>
            </w:pPr>
            <w:r w:rsidRPr="00FA6CAC">
              <w:rPr>
                <w:sz w:val="16"/>
                <w:szCs w:val="16"/>
              </w:rPr>
              <w:t>18</w:t>
            </w:r>
          </w:p>
        </w:tc>
        <w:tc>
          <w:tcPr>
            <w:tcW w:w="719"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rPr>
                <w:sz w:val="16"/>
                <w:szCs w:val="16"/>
              </w:rPr>
            </w:pPr>
            <w:r w:rsidRPr="00FA6CAC">
              <w:rPr>
                <w:sz w:val="16"/>
                <w:szCs w:val="16"/>
              </w:rPr>
              <w:t>-</w:t>
            </w:r>
          </w:p>
        </w:tc>
        <w:tc>
          <w:tcPr>
            <w:tcW w:w="823" w:type="pct"/>
            <w:tcBorders>
              <w:top w:val="single" w:sz="8" w:space="0" w:color="auto"/>
              <w:left w:val="single" w:sz="8" w:space="0" w:color="auto"/>
              <w:bottom w:val="single" w:sz="8" w:space="0" w:color="auto"/>
              <w:right w:val="single" w:sz="8" w:space="0" w:color="auto"/>
            </w:tcBorders>
            <w:shd w:val="clear" w:color="auto" w:fill="auto"/>
            <w:vAlign w:val="center"/>
          </w:tcPr>
          <w:p w:rsidR="00B83EDF" w:rsidRPr="00FA6CAC" w:rsidRDefault="00B83EDF" w:rsidP="00F721A6">
            <w:pPr>
              <w:jc w:val="center"/>
              <w:rPr>
                <w:sz w:val="16"/>
                <w:szCs w:val="16"/>
              </w:rPr>
            </w:pPr>
            <w:r w:rsidRPr="00FA6CAC">
              <w:rPr>
                <w:sz w:val="16"/>
                <w:szCs w:val="16"/>
              </w:rPr>
              <w:t>18</w:t>
            </w:r>
          </w:p>
        </w:tc>
      </w:tr>
      <w:tr w:rsidR="00B83EDF" w:rsidRPr="00FA6CAC" w:rsidTr="00FA6CAC">
        <w:tc>
          <w:tcPr>
            <w:tcW w:w="1345" w:type="pct"/>
            <w:vMerge/>
            <w:tcBorders>
              <w:top w:val="single" w:sz="8" w:space="0" w:color="auto"/>
              <w:left w:val="single" w:sz="8" w:space="0" w:color="auto"/>
              <w:bottom w:val="single" w:sz="8" w:space="0" w:color="auto"/>
              <w:right w:val="single" w:sz="8" w:space="0" w:color="auto"/>
            </w:tcBorders>
            <w:shd w:val="clear" w:color="auto" w:fill="auto"/>
            <w:noWrap/>
          </w:tcPr>
          <w:p w:rsidR="00B83EDF" w:rsidRPr="00FA6CAC" w:rsidRDefault="00B83EDF" w:rsidP="00F721A6">
            <w:pPr>
              <w:rPr>
                <w:sz w:val="16"/>
                <w:szCs w:val="16"/>
              </w:rPr>
            </w:pPr>
          </w:p>
        </w:tc>
        <w:tc>
          <w:tcPr>
            <w:tcW w:w="1306"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Marga Jaya</w:t>
            </w:r>
          </w:p>
        </w:tc>
        <w:tc>
          <w:tcPr>
            <w:tcW w:w="807"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5</w:t>
            </w:r>
          </w:p>
        </w:tc>
        <w:tc>
          <w:tcPr>
            <w:tcW w:w="719"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w:t>
            </w:r>
          </w:p>
        </w:tc>
        <w:tc>
          <w:tcPr>
            <w:tcW w:w="823"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5</w:t>
            </w:r>
          </w:p>
        </w:tc>
      </w:tr>
      <w:tr w:rsidR="00B83EDF" w:rsidRPr="00FA6CAC" w:rsidTr="00FA6CAC">
        <w:tc>
          <w:tcPr>
            <w:tcW w:w="1345" w:type="pct"/>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B83EDF" w:rsidRPr="00FA6CAC" w:rsidRDefault="00B83EDF" w:rsidP="00F721A6">
            <w:pPr>
              <w:rPr>
                <w:sz w:val="16"/>
                <w:szCs w:val="16"/>
              </w:rPr>
            </w:pPr>
            <w:r w:rsidRPr="00FA6CAC">
              <w:rPr>
                <w:sz w:val="16"/>
                <w:szCs w:val="16"/>
              </w:rPr>
              <w:t>Pamulihan</w:t>
            </w:r>
          </w:p>
        </w:tc>
        <w:tc>
          <w:tcPr>
            <w:tcW w:w="1306"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Haurngombong</w:t>
            </w:r>
          </w:p>
        </w:tc>
        <w:tc>
          <w:tcPr>
            <w:tcW w:w="807"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11</w:t>
            </w:r>
          </w:p>
        </w:tc>
        <w:tc>
          <w:tcPr>
            <w:tcW w:w="719"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w:t>
            </w:r>
          </w:p>
        </w:tc>
        <w:tc>
          <w:tcPr>
            <w:tcW w:w="823"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11</w:t>
            </w:r>
          </w:p>
        </w:tc>
      </w:tr>
      <w:tr w:rsidR="00B83EDF" w:rsidRPr="00FA6CAC" w:rsidTr="00FA6CAC">
        <w:tc>
          <w:tcPr>
            <w:tcW w:w="1345" w:type="pct"/>
            <w:vMerge/>
            <w:tcBorders>
              <w:top w:val="single" w:sz="8" w:space="0" w:color="auto"/>
              <w:left w:val="single" w:sz="8" w:space="0" w:color="auto"/>
              <w:bottom w:val="single" w:sz="8" w:space="0" w:color="auto"/>
              <w:right w:val="single" w:sz="8" w:space="0" w:color="auto"/>
            </w:tcBorders>
            <w:shd w:val="clear" w:color="auto" w:fill="auto"/>
            <w:noWrap/>
          </w:tcPr>
          <w:p w:rsidR="00B83EDF" w:rsidRPr="00FA6CAC" w:rsidRDefault="00B83EDF" w:rsidP="00F721A6">
            <w:pPr>
              <w:rPr>
                <w:sz w:val="16"/>
                <w:szCs w:val="16"/>
              </w:rPr>
            </w:pPr>
          </w:p>
        </w:tc>
        <w:tc>
          <w:tcPr>
            <w:tcW w:w="1306"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Pamulihan</w:t>
            </w:r>
          </w:p>
        </w:tc>
        <w:tc>
          <w:tcPr>
            <w:tcW w:w="807"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w:t>
            </w:r>
          </w:p>
        </w:tc>
        <w:tc>
          <w:tcPr>
            <w:tcW w:w="719"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w:t>
            </w:r>
          </w:p>
        </w:tc>
        <w:tc>
          <w:tcPr>
            <w:tcW w:w="823"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0</w:t>
            </w:r>
          </w:p>
        </w:tc>
      </w:tr>
      <w:tr w:rsidR="00B83EDF" w:rsidRPr="00FA6CAC" w:rsidTr="00FA6CAC">
        <w:tc>
          <w:tcPr>
            <w:tcW w:w="1345" w:type="pct"/>
            <w:vMerge/>
            <w:tcBorders>
              <w:top w:val="single" w:sz="8" w:space="0" w:color="auto"/>
              <w:left w:val="single" w:sz="8" w:space="0" w:color="auto"/>
              <w:bottom w:val="single" w:sz="8" w:space="0" w:color="auto"/>
              <w:right w:val="single" w:sz="8" w:space="0" w:color="auto"/>
            </w:tcBorders>
            <w:shd w:val="clear" w:color="auto" w:fill="auto"/>
            <w:noWrap/>
          </w:tcPr>
          <w:p w:rsidR="00B83EDF" w:rsidRPr="00FA6CAC" w:rsidRDefault="00B83EDF" w:rsidP="00F721A6">
            <w:pPr>
              <w:rPr>
                <w:sz w:val="16"/>
                <w:szCs w:val="16"/>
              </w:rPr>
            </w:pPr>
          </w:p>
        </w:tc>
        <w:tc>
          <w:tcPr>
            <w:tcW w:w="1306"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Mekarbakti</w:t>
            </w:r>
          </w:p>
        </w:tc>
        <w:tc>
          <w:tcPr>
            <w:tcW w:w="807"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2</w:t>
            </w:r>
          </w:p>
        </w:tc>
        <w:tc>
          <w:tcPr>
            <w:tcW w:w="719"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w:t>
            </w:r>
          </w:p>
        </w:tc>
        <w:tc>
          <w:tcPr>
            <w:tcW w:w="823"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2</w:t>
            </w:r>
          </w:p>
        </w:tc>
      </w:tr>
      <w:tr w:rsidR="00B83EDF" w:rsidRPr="00FA6CAC" w:rsidTr="00FA6CAC">
        <w:tc>
          <w:tcPr>
            <w:tcW w:w="1345" w:type="pct"/>
            <w:vMerge/>
            <w:tcBorders>
              <w:top w:val="single" w:sz="8" w:space="0" w:color="auto"/>
              <w:left w:val="single" w:sz="8" w:space="0" w:color="auto"/>
              <w:bottom w:val="single" w:sz="8" w:space="0" w:color="auto"/>
              <w:right w:val="single" w:sz="8" w:space="0" w:color="auto"/>
            </w:tcBorders>
            <w:shd w:val="clear" w:color="auto" w:fill="auto"/>
            <w:noWrap/>
          </w:tcPr>
          <w:p w:rsidR="00B83EDF" w:rsidRPr="00FA6CAC" w:rsidRDefault="00B83EDF" w:rsidP="00F721A6">
            <w:pPr>
              <w:rPr>
                <w:sz w:val="16"/>
                <w:szCs w:val="16"/>
              </w:rPr>
            </w:pPr>
          </w:p>
        </w:tc>
        <w:tc>
          <w:tcPr>
            <w:tcW w:w="1306"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Cilembu</w:t>
            </w:r>
          </w:p>
        </w:tc>
        <w:tc>
          <w:tcPr>
            <w:tcW w:w="807"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8</w:t>
            </w:r>
          </w:p>
        </w:tc>
        <w:tc>
          <w:tcPr>
            <w:tcW w:w="719"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w:t>
            </w:r>
          </w:p>
        </w:tc>
        <w:tc>
          <w:tcPr>
            <w:tcW w:w="823"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8</w:t>
            </w:r>
          </w:p>
        </w:tc>
      </w:tr>
      <w:tr w:rsidR="00B83EDF" w:rsidRPr="00FA6CAC" w:rsidTr="00FA6CAC">
        <w:tc>
          <w:tcPr>
            <w:tcW w:w="1345" w:type="pct"/>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B83EDF" w:rsidRPr="00FA6CAC" w:rsidRDefault="00B83EDF" w:rsidP="00F721A6">
            <w:pPr>
              <w:rPr>
                <w:sz w:val="16"/>
                <w:szCs w:val="16"/>
              </w:rPr>
            </w:pPr>
            <w:r w:rsidRPr="00FA6CAC">
              <w:rPr>
                <w:sz w:val="16"/>
                <w:szCs w:val="16"/>
              </w:rPr>
              <w:t>Sumedang Utara</w:t>
            </w:r>
          </w:p>
        </w:tc>
        <w:tc>
          <w:tcPr>
            <w:tcW w:w="1306"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Kebonjati</w:t>
            </w:r>
          </w:p>
        </w:tc>
        <w:tc>
          <w:tcPr>
            <w:tcW w:w="807"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28</w:t>
            </w:r>
          </w:p>
        </w:tc>
        <w:tc>
          <w:tcPr>
            <w:tcW w:w="719"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8</w:t>
            </w:r>
          </w:p>
        </w:tc>
        <w:tc>
          <w:tcPr>
            <w:tcW w:w="823"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36</w:t>
            </w:r>
          </w:p>
        </w:tc>
      </w:tr>
      <w:tr w:rsidR="00B83EDF" w:rsidRPr="00FA6CAC" w:rsidTr="00FA6CAC">
        <w:tc>
          <w:tcPr>
            <w:tcW w:w="1345" w:type="pct"/>
            <w:vMerge/>
            <w:tcBorders>
              <w:top w:val="single" w:sz="8" w:space="0" w:color="auto"/>
              <w:left w:val="single" w:sz="8" w:space="0" w:color="auto"/>
              <w:bottom w:val="single" w:sz="8" w:space="0" w:color="auto"/>
              <w:right w:val="single" w:sz="8" w:space="0" w:color="auto"/>
            </w:tcBorders>
            <w:shd w:val="clear" w:color="auto" w:fill="auto"/>
            <w:noWrap/>
          </w:tcPr>
          <w:p w:rsidR="00B83EDF" w:rsidRPr="00FA6CAC" w:rsidRDefault="00B83EDF" w:rsidP="00F721A6">
            <w:pPr>
              <w:rPr>
                <w:sz w:val="16"/>
                <w:szCs w:val="16"/>
              </w:rPr>
            </w:pPr>
          </w:p>
        </w:tc>
        <w:tc>
          <w:tcPr>
            <w:tcW w:w="1306"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Situ</w:t>
            </w:r>
          </w:p>
        </w:tc>
        <w:tc>
          <w:tcPr>
            <w:tcW w:w="807"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w:t>
            </w:r>
          </w:p>
        </w:tc>
        <w:tc>
          <w:tcPr>
            <w:tcW w:w="719"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2</w:t>
            </w:r>
          </w:p>
        </w:tc>
        <w:tc>
          <w:tcPr>
            <w:tcW w:w="823"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2</w:t>
            </w:r>
          </w:p>
        </w:tc>
      </w:tr>
      <w:tr w:rsidR="00B83EDF" w:rsidRPr="00FA6CAC" w:rsidTr="00FA6CAC">
        <w:tc>
          <w:tcPr>
            <w:tcW w:w="1345" w:type="pct"/>
            <w:vMerge/>
            <w:tcBorders>
              <w:top w:val="single" w:sz="8" w:space="0" w:color="auto"/>
              <w:left w:val="single" w:sz="8" w:space="0" w:color="auto"/>
              <w:bottom w:val="single" w:sz="8" w:space="0" w:color="auto"/>
              <w:right w:val="single" w:sz="8" w:space="0" w:color="auto"/>
            </w:tcBorders>
            <w:shd w:val="clear" w:color="auto" w:fill="auto"/>
            <w:noWrap/>
          </w:tcPr>
          <w:p w:rsidR="00B83EDF" w:rsidRPr="00FA6CAC" w:rsidRDefault="00B83EDF" w:rsidP="00F721A6">
            <w:pPr>
              <w:rPr>
                <w:sz w:val="16"/>
                <w:szCs w:val="16"/>
              </w:rPr>
            </w:pPr>
          </w:p>
        </w:tc>
        <w:tc>
          <w:tcPr>
            <w:tcW w:w="1306"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Girimukti</w:t>
            </w:r>
          </w:p>
        </w:tc>
        <w:tc>
          <w:tcPr>
            <w:tcW w:w="807"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w:t>
            </w:r>
          </w:p>
        </w:tc>
        <w:tc>
          <w:tcPr>
            <w:tcW w:w="719"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1</w:t>
            </w:r>
          </w:p>
        </w:tc>
        <w:tc>
          <w:tcPr>
            <w:tcW w:w="823"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1</w:t>
            </w:r>
          </w:p>
        </w:tc>
      </w:tr>
      <w:tr w:rsidR="00B83EDF" w:rsidRPr="00FA6CAC" w:rsidTr="00FA6CAC">
        <w:tc>
          <w:tcPr>
            <w:tcW w:w="1345" w:type="pct"/>
            <w:vMerge/>
            <w:tcBorders>
              <w:top w:val="single" w:sz="8" w:space="0" w:color="auto"/>
              <w:left w:val="single" w:sz="8" w:space="0" w:color="auto"/>
              <w:bottom w:val="single" w:sz="8" w:space="0" w:color="auto"/>
              <w:right w:val="single" w:sz="8" w:space="0" w:color="auto"/>
            </w:tcBorders>
            <w:shd w:val="clear" w:color="auto" w:fill="auto"/>
            <w:noWrap/>
          </w:tcPr>
          <w:p w:rsidR="00B83EDF" w:rsidRPr="00FA6CAC" w:rsidRDefault="00B83EDF" w:rsidP="00F721A6">
            <w:pPr>
              <w:rPr>
                <w:sz w:val="16"/>
                <w:szCs w:val="16"/>
              </w:rPr>
            </w:pPr>
          </w:p>
        </w:tc>
        <w:tc>
          <w:tcPr>
            <w:tcW w:w="1306"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Rancamulya</w:t>
            </w:r>
          </w:p>
        </w:tc>
        <w:tc>
          <w:tcPr>
            <w:tcW w:w="807"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w:t>
            </w:r>
          </w:p>
        </w:tc>
        <w:tc>
          <w:tcPr>
            <w:tcW w:w="719"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1</w:t>
            </w:r>
          </w:p>
        </w:tc>
        <w:tc>
          <w:tcPr>
            <w:tcW w:w="823"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1</w:t>
            </w:r>
          </w:p>
        </w:tc>
      </w:tr>
      <w:tr w:rsidR="00B83EDF" w:rsidRPr="00FA6CAC" w:rsidTr="00FA6CAC">
        <w:tc>
          <w:tcPr>
            <w:tcW w:w="1345" w:type="pct"/>
            <w:vMerge/>
            <w:tcBorders>
              <w:top w:val="single" w:sz="8" w:space="0" w:color="auto"/>
              <w:left w:val="single" w:sz="8" w:space="0" w:color="auto"/>
              <w:bottom w:val="single" w:sz="8" w:space="0" w:color="auto"/>
              <w:right w:val="single" w:sz="8" w:space="0" w:color="auto"/>
            </w:tcBorders>
            <w:shd w:val="clear" w:color="auto" w:fill="auto"/>
            <w:noWrap/>
          </w:tcPr>
          <w:p w:rsidR="00B83EDF" w:rsidRPr="00FA6CAC" w:rsidRDefault="00B83EDF" w:rsidP="00F721A6">
            <w:pPr>
              <w:rPr>
                <w:sz w:val="16"/>
                <w:szCs w:val="16"/>
              </w:rPr>
            </w:pPr>
          </w:p>
        </w:tc>
        <w:tc>
          <w:tcPr>
            <w:tcW w:w="1306"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Kotakaler</w:t>
            </w:r>
          </w:p>
        </w:tc>
        <w:tc>
          <w:tcPr>
            <w:tcW w:w="807"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w:t>
            </w:r>
          </w:p>
        </w:tc>
        <w:tc>
          <w:tcPr>
            <w:tcW w:w="719"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1</w:t>
            </w:r>
          </w:p>
        </w:tc>
        <w:tc>
          <w:tcPr>
            <w:tcW w:w="823"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1</w:t>
            </w:r>
          </w:p>
        </w:tc>
      </w:tr>
      <w:tr w:rsidR="00B83EDF" w:rsidRPr="00FA6CAC" w:rsidTr="00FA6CAC">
        <w:tc>
          <w:tcPr>
            <w:tcW w:w="1345" w:type="pct"/>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B83EDF" w:rsidRPr="00FA6CAC" w:rsidRDefault="00B83EDF" w:rsidP="00F721A6">
            <w:pPr>
              <w:rPr>
                <w:sz w:val="16"/>
                <w:szCs w:val="16"/>
              </w:rPr>
            </w:pPr>
            <w:r w:rsidRPr="00FA6CAC">
              <w:rPr>
                <w:sz w:val="16"/>
                <w:szCs w:val="16"/>
              </w:rPr>
              <w:t>Cibugel</w:t>
            </w:r>
          </w:p>
        </w:tc>
        <w:tc>
          <w:tcPr>
            <w:tcW w:w="1306"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Tamansari</w:t>
            </w:r>
          </w:p>
        </w:tc>
        <w:tc>
          <w:tcPr>
            <w:tcW w:w="807"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8</w:t>
            </w:r>
          </w:p>
        </w:tc>
        <w:tc>
          <w:tcPr>
            <w:tcW w:w="719"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w:t>
            </w:r>
          </w:p>
        </w:tc>
        <w:tc>
          <w:tcPr>
            <w:tcW w:w="823"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8</w:t>
            </w:r>
          </w:p>
        </w:tc>
      </w:tr>
      <w:tr w:rsidR="00B83EDF" w:rsidRPr="00FA6CAC" w:rsidTr="00FA6CAC">
        <w:tc>
          <w:tcPr>
            <w:tcW w:w="1345" w:type="pct"/>
            <w:vMerge/>
            <w:tcBorders>
              <w:top w:val="single" w:sz="8" w:space="0" w:color="auto"/>
              <w:left w:val="single" w:sz="8" w:space="0" w:color="auto"/>
              <w:bottom w:val="single" w:sz="8" w:space="0" w:color="auto"/>
              <w:right w:val="single" w:sz="8" w:space="0" w:color="auto"/>
            </w:tcBorders>
            <w:shd w:val="clear" w:color="auto" w:fill="auto"/>
            <w:noWrap/>
          </w:tcPr>
          <w:p w:rsidR="00B83EDF" w:rsidRPr="00FA6CAC" w:rsidRDefault="00B83EDF" w:rsidP="00F721A6">
            <w:pPr>
              <w:rPr>
                <w:sz w:val="16"/>
                <w:szCs w:val="16"/>
              </w:rPr>
            </w:pPr>
          </w:p>
        </w:tc>
        <w:tc>
          <w:tcPr>
            <w:tcW w:w="1306"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Cibugel</w:t>
            </w:r>
          </w:p>
        </w:tc>
        <w:tc>
          <w:tcPr>
            <w:tcW w:w="807"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1</w:t>
            </w:r>
          </w:p>
        </w:tc>
        <w:tc>
          <w:tcPr>
            <w:tcW w:w="719"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w:t>
            </w:r>
          </w:p>
        </w:tc>
        <w:tc>
          <w:tcPr>
            <w:tcW w:w="823"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1</w:t>
            </w:r>
          </w:p>
        </w:tc>
      </w:tr>
      <w:tr w:rsidR="00B83EDF" w:rsidRPr="00FA6CAC" w:rsidTr="00FA6CAC">
        <w:tc>
          <w:tcPr>
            <w:tcW w:w="1345" w:type="pct"/>
            <w:tcBorders>
              <w:top w:val="single" w:sz="8" w:space="0" w:color="auto"/>
              <w:left w:val="single" w:sz="8" w:space="0" w:color="auto"/>
              <w:bottom w:val="single" w:sz="8" w:space="0" w:color="auto"/>
              <w:right w:val="single" w:sz="8" w:space="0" w:color="auto"/>
            </w:tcBorders>
            <w:shd w:val="clear" w:color="auto" w:fill="auto"/>
            <w:noWrap/>
          </w:tcPr>
          <w:p w:rsidR="00B83EDF" w:rsidRPr="00FA6CAC" w:rsidRDefault="00B83EDF" w:rsidP="00F721A6">
            <w:pPr>
              <w:rPr>
                <w:sz w:val="16"/>
                <w:szCs w:val="16"/>
              </w:rPr>
            </w:pPr>
            <w:r w:rsidRPr="00FA6CAC">
              <w:rPr>
                <w:sz w:val="16"/>
                <w:szCs w:val="16"/>
              </w:rPr>
              <w:t>Surian</w:t>
            </w:r>
          </w:p>
        </w:tc>
        <w:tc>
          <w:tcPr>
            <w:tcW w:w="1306"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Surian</w:t>
            </w:r>
          </w:p>
        </w:tc>
        <w:tc>
          <w:tcPr>
            <w:tcW w:w="807"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4</w:t>
            </w:r>
          </w:p>
        </w:tc>
        <w:tc>
          <w:tcPr>
            <w:tcW w:w="719"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w:t>
            </w:r>
          </w:p>
        </w:tc>
        <w:tc>
          <w:tcPr>
            <w:tcW w:w="823"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4</w:t>
            </w:r>
          </w:p>
        </w:tc>
      </w:tr>
      <w:tr w:rsidR="00B83EDF" w:rsidRPr="00FA6CAC" w:rsidTr="00FA6CAC">
        <w:tc>
          <w:tcPr>
            <w:tcW w:w="1345" w:type="pct"/>
            <w:vMerge w:val="restart"/>
            <w:tcBorders>
              <w:top w:val="single" w:sz="8" w:space="0" w:color="auto"/>
              <w:left w:val="single" w:sz="8" w:space="0" w:color="auto"/>
              <w:bottom w:val="single" w:sz="8" w:space="0" w:color="auto"/>
              <w:right w:val="single" w:sz="8" w:space="0" w:color="auto"/>
            </w:tcBorders>
            <w:shd w:val="clear" w:color="auto" w:fill="auto"/>
            <w:noWrap/>
          </w:tcPr>
          <w:p w:rsidR="00B83EDF" w:rsidRPr="00FA6CAC" w:rsidRDefault="00B83EDF" w:rsidP="00F721A6">
            <w:pPr>
              <w:rPr>
                <w:sz w:val="16"/>
                <w:szCs w:val="16"/>
              </w:rPr>
            </w:pPr>
            <w:r w:rsidRPr="00FA6CAC">
              <w:rPr>
                <w:sz w:val="16"/>
                <w:szCs w:val="16"/>
              </w:rPr>
              <w:t>Sumedang Selatan</w:t>
            </w:r>
          </w:p>
        </w:tc>
        <w:tc>
          <w:tcPr>
            <w:tcW w:w="1306"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Kotakulon</w:t>
            </w:r>
          </w:p>
        </w:tc>
        <w:tc>
          <w:tcPr>
            <w:tcW w:w="807"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w:t>
            </w:r>
          </w:p>
        </w:tc>
        <w:tc>
          <w:tcPr>
            <w:tcW w:w="719"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1</w:t>
            </w:r>
          </w:p>
        </w:tc>
        <w:tc>
          <w:tcPr>
            <w:tcW w:w="823"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1-</w:t>
            </w:r>
          </w:p>
        </w:tc>
      </w:tr>
      <w:tr w:rsidR="00B83EDF" w:rsidRPr="00FA6CAC" w:rsidTr="00FA6CAC">
        <w:tc>
          <w:tcPr>
            <w:tcW w:w="1345" w:type="pct"/>
            <w:vMerge/>
            <w:tcBorders>
              <w:top w:val="single" w:sz="8" w:space="0" w:color="auto"/>
              <w:left w:val="single" w:sz="8" w:space="0" w:color="auto"/>
              <w:bottom w:val="single" w:sz="8" w:space="0" w:color="auto"/>
              <w:right w:val="single" w:sz="8" w:space="0" w:color="auto"/>
            </w:tcBorders>
            <w:shd w:val="clear" w:color="auto" w:fill="auto"/>
            <w:noWrap/>
          </w:tcPr>
          <w:p w:rsidR="00B83EDF" w:rsidRPr="00FA6CAC" w:rsidRDefault="00B83EDF" w:rsidP="00F721A6">
            <w:pPr>
              <w:rPr>
                <w:sz w:val="16"/>
                <w:szCs w:val="16"/>
              </w:rPr>
            </w:pPr>
          </w:p>
        </w:tc>
        <w:tc>
          <w:tcPr>
            <w:tcW w:w="1306"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Rancapurut</w:t>
            </w:r>
          </w:p>
        </w:tc>
        <w:tc>
          <w:tcPr>
            <w:tcW w:w="807"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w:t>
            </w:r>
          </w:p>
        </w:tc>
        <w:tc>
          <w:tcPr>
            <w:tcW w:w="719"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1</w:t>
            </w:r>
          </w:p>
        </w:tc>
        <w:tc>
          <w:tcPr>
            <w:tcW w:w="823"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1</w:t>
            </w:r>
          </w:p>
        </w:tc>
      </w:tr>
      <w:tr w:rsidR="00B83EDF" w:rsidRPr="00FA6CAC" w:rsidTr="00FA6CAC">
        <w:tc>
          <w:tcPr>
            <w:tcW w:w="1345" w:type="pct"/>
            <w:tcBorders>
              <w:top w:val="single" w:sz="8" w:space="0" w:color="auto"/>
              <w:left w:val="single" w:sz="8" w:space="0" w:color="auto"/>
              <w:bottom w:val="single" w:sz="8" w:space="0" w:color="auto"/>
              <w:right w:val="single" w:sz="8" w:space="0" w:color="auto"/>
            </w:tcBorders>
            <w:shd w:val="clear" w:color="auto" w:fill="auto"/>
            <w:noWrap/>
          </w:tcPr>
          <w:p w:rsidR="00B83EDF" w:rsidRPr="00FA6CAC" w:rsidRDefault="00B83EDF" w:rsidP="00F721A6">
            <w:pPr>
              <w:rPr>
                <w:sz w:val="16"/>
                <w:szCs w:val="16"/>
              </w:rPr>
            </w:pPr>
            <w:r w:rsidRPr="00FA6CAC">
              <w:rPr>
                <w:sz w:val="16"/>
                <w:szCs w:val="16"/>
              </w:rPr>
              <w:t>Tanjungkerta</w:t>
            </w:r>
          </w:p>
        </w:tc>
        <w:tc>
          <w:tcPr>
            <w:tcW w:w="1306"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Tanjungmekar</w:t>
            </w:r>
          </w:p>
        </w:tc>
        <w:tc>
          <w:tcPr>
            <w:tcW w:w="807"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w:t>
            </w:r>
          </w:p>
        </w:tc>
        <w:tc>
          <w:tcPr>
            <w:tcW w:w="719"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1</w:t>
            </w:r>
          </w:p>
        </w:tc>
        <w:tc>
          <w:tcPr>
            <w:tcW w:w="823" w:type="pct"/>
            <w:tcBorders>
              <w:top w:val="single" w:sz="8" w:space="0" w:color="auto"/>
              <w:left w:val="single" w:sz="8" w:space="0" w:color="auto"/>
              <w:bottom w:val="single" w:sz="8" w:space="0" w:color="auto"/>
              <w:right w:val="single" w:sz="8" w:space="0" w:color="auto"/>
            </w:tcBorders>
            <w:shd w:val="clear" w:color="auto" w:fill="auto"/>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1</w:t>
            </w:r>
          </w:p>
        </w:tc>
      </w:tr>
      <w:tr w:rsidR="00B83EDF" w:rsidRPr="00FA6CAC" w:rsidTr="00FA6CAC">
        <w:tc>
          <w:tcPr>
            <w:tcW w:w="1345" w:type="pct"/>
            <w:tcBorders>
              <w:top w:val="single" w:sz="8" w:space="0" w:color="auto"/>
              <w:left w:val="single" w:sz="8" w:space="0" w:color="auto"/>
              <w:bottom w:val="single" w:sz="8" w:space="0" w:color="auto"/>
              <w:right w:val="single" w:sz="8" w:space="0" w:color="auto"/>
            </w:tcBorders>
            <w:shd w:val="clear" w:color="auto" w:fill="FFFFFF"/>
            <w:noWrap/>
          </w:tcPr>
          <w:p w:rsidR="00B83EDF" w:rsidRPr="00FA6CAC" w:rsidRDefault="00B83EDF" w:rsidP="00F721A6">
            <w:pPr>
              <w:rPr>
                <w:sz w:val="16"/>
                <w:szCs w:val="16"/>
              </w:rPr>
            </w:pPr>
            <w:r w:rsidRPr="00FA6CAC">
              <w:rPr>
                <w:sz w:val="16"/>
                <w:szCs w:val="16"/>
              </w:rPr>
              <w:t>Total</w:t>
            </w:r>
          </w:p>
        </w:tc>
        <w:tc>
          <w:tcPr>
            <w:tcW w:w="1306" w:type="pct"/>
            <w:tcBorders>
              <w:top w:val="single" w:sz="8" w:space="0" w:color="auto"/>
              <w:left w:val="single" w:sz="8" w:space="0" w:color="auto"/>
              <w:bottom w:val="single" w:sz="8" w:space="0" w:color="auto"/>
              <w:right w:val="single" w:sz="8" w:space="0" w:color="auto"/>
            </w:tcBorders>
            <w:shd w:val="clear" w:color="auto" w:fill="FFFFFF"/>
          </w:tcPr>
          <w:p w:rsidR="00B83EDF" w:rsidRPr="00FA6CAC" w:rsidRDefault="00B83EDF" w:rsidP="00F721A6">
            <w:pPr>
              <w:pStyle w:val="DecimalAligned"/>
              <w:spacing w:after="0" w:line="240" w:lineRule="auto"/>
              <w:rPr>
                <w:rFonts w:ascii="Times New Roman" w:hAnsi="Times New Roman"/>
                <w:sz w:val="16"/>
                <w:szCs w:val="16"/>
              </w:rPr>
            </w:pPr>
          </w:p>
        </w:tc>
        <w:tc>
          <w:tcPr>
            <w:tcW w:w="807" w:type="pct"/>
            <w:tcBorders>
              <w:top w:val="single" w:sz="8" w:space="0" w:color="auto"/>
              <w:left w:val="single" w:sz="8" w:space="0" w:color="auto"/>
              <w:bottom w:val="single" w:sz="8" w:space="0" w:color="auto"/>
              <w:right w:val="single" w:sz="8" w:space="0" w:color="auto"/>
            </w:tcBorders>
            <w:shd w:val="clear" w:color="auto" w:fill="FFFFFF"/>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85</w:t>
            </w:r>
          </w:p>
        </w:tc>
        <w:tc>
          <w:tcPr>
            <w:tcW w:w="719" w:type="pct"/>
            <w:tcBorders>
              <w:top w:val="single" w:sz="8" w:space="0" w:color="auto"/>
              <w:left w:val="single" w:sz="8" w:space="0" w:color="auto"/>
              <w:bottom w:val="single" w:sz="8" w:space="0" w:color="auto"/>
              <w:right w:val="single" w:sz="8" w:space="0" w:color="auto"/>
            </w:tcBorders>
            <w:shd w:val="clear" w:color="auto" w:fill="FFFFFF"/>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16</w:t>
            </w:r>
          </w:p>
        </w:tc>
        <w:tc>
          <w:tcPr>
            <w:tcW w:w="823" w:type="pct"/>
            <w:tcBorders>
              <w:top w:val="single" w:sz="8" w:space="0" w:color="auto"/>
              <w:left w:val="single" w:sz="8" w:space="0" w:color="auto"/>
              <w:bottom w:val="single" w:sz="8" w:space="0" w:color="auto"/>
              <w:right w:val="single" w:sz="8" w:space="0" w:color="auto"/>
            </w:tcBorders>
            <w:shd w:val="clear" w:color="auto" w:fill="FFFFFF"/>
          </w:tcPr>
          <w:p w:rsidR="00B83EDF" w:rsidRPr="00FA6CAC" w:rsidRDefault="00B83EDF" w:rsidP="00F721A6">
            <w:pPr>
              <w:pStyle w:val="DecimalAligned"/>
              <w:spacing w:after="0" w:line="240" w:lineRule="auto"/>
              <w:rPr>
                <w:rFonts w:ascii="Times New Roman" w:hAnsi="Times New Roman"/>
                <w:sz w:val="16"/>
                <w:szCs w:val="16"/>
              </w:rPr>
            </w:pPr>
            <w:r w:rsidRPr="00FA6CAC">
              <w:rPr>
                <w:rFonts w:ascii="Times New Roman" w:hAnsi="Times New Roman"/>
                <w:sz w:val="16"/>
                <w:szCs w:val="16"/>
              </w:rPr>
              <w:t>101</w:t>
            </w:r>
          </w:p>
        </w:tc>
      </w:tr>
    </w:tbl>
    <w:p w:rsidR="00B83EDF" w:rsidRPr="001D4C03" w:rsidRDefault="00B83EDF" w:rsidP="001D4C03">
      <w:pPr>
        <w:tabs>
          <w:tab w:val="left" w:pos="540"/>
          <w:tab w:val="left" w:pos="630"/>
        </w:tabs>
        <w:jc w:val="both"/>
        <w:rPr>
          <w:sz w:val="18"/>
          <w:szCs w:val="18"/>
        </w:rPr>
      </w:pPr>
    </w:p>
    <w:p w:rsidR="00EE74A8" w:rsidRPr="00FA6CAC" w:rsidRDefault="00FA5238" w:rsidP="001D4C0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Style w:val="tlid-translation"/>
          <w:b/>
          <w:sz w:val="18"/>
          <w:szCs w:val="18"/>
          <w:lang w:val="en"/>
        </w:rPr>
      </w:pPr>
      <w:r w:rsidRPr="00FA6CAC">
        <w:rPr>
          <w:rStyle w:val="tlid-translation"/>
          <w:b/>
          <w:sz w:val="18"/>
          <w:szCs w:val="18"/>
          <w:lang w:val="en"/>
        </w:rPr>
        <w:t>2</w:t>
      </w:r>
      <w:r w:rsidR="00512245" w:rsidRPr="00FA6CAC">
        <w:rPr>
          <w:rStyle w:val="tlid-translation"/>
          <w:b/>
          <w:sz w:val="18"/>
          <w:szCs w:val="18"/>
          <w:lang w:val="en"/>
        </w:rPr>
        <w:t>.</w:t>
      </w:r>
      <w:r w:rsidRPr="00FA6CAC">
        <w:rPr>
          <w:rStyle w:val="tlid-translation"/>
          <w:b/>
          <w:sz w:val="18"/>
          <w:szCs w:val="18"/>
          <w:lang w:val="en"/>
        </w:rPr>
        <w:t>4</w:t>
      </w:r>
      <w:r w:rsidR="00512245" w:rsidRPr="00FA6CAC">
        <w:rPr>
          <w:rStyle w:val="tlid-translation"/>
          <w:b/>
          <w:sz w:val="18"/>
          <w:szCs w:val="18"/>
          <w:lang w:val="en"/>
        </w:rPr>
        <w:t xml:space="preserve"> Primary Data Collection in Indonesia</w:t>
      </w:r>
    </w:p>
    <w:p w:rsidR="00EE74A8" w:rsidRPr="00FA6CAC" w:rsidRDefault="00512245" w:rsidP="00EE74A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Style w:val="tlid-translation"/>
          <w:sz w:val="18"/>
          <w:szCs w:val="18"/>
          <w:lang w:val="en"/>
        </w:rPr>
      </w:pPr>
      <w:r w:rsidRPr="00FA6CAC">
        <w:rPr>
          <w:rStyle w:val="tlid-translation"/>
          <w:sz w:val="18"/>
          <w:szCs w:val="18"/>
          <w:lang w:val="en"/>
        </w:rPr>
        <w:t xml:space="preserve">The population survey was conducted online and in person. Online system is prepared using free facilities from Google Forms: Free Online Surveys for Personal Use. Data collected through a face-to-face survey was entered into Google Forms, </w:t>
      </w:r>
      <w:hyperlink r:id="rId12" w:history="1">
        <w:r w:rsidR="00EE74A8" w:rsidRPr="00FA6CAC">
          <w:rPr>
            <w:rStyle w:val="Hyperlink"/>
            <w:sz w:val="18"/>
            <w:szCs w:val="18"/>
            <w:lang w:val="en"/>
          </w:rPr>
          <w:t>https://goo.gl/forms/XP2gnZDKHJ8 bjkpX2</w:t>
        </w:r>
      </w:hyperlink>
      <w:r w:rsidR="00EE74A8" w:rsidRPr="00FA6CAC">
        <w:rPr>
          <w:rStyle w:val="tlid-translation"/>
          <w:sz w:val="18"/>
          <w:szCs w:val="18"/>
          <w:lang w:val="en"/>
        </w:rPr>
        <w:t xml:space="preserve"> </w:t>
      </w:r>
      <w:r w:rsidRPr="00FA6CAC">
        <w:rPr>
          <w:rStyle w:val="tlid-translation"/>
          <w:sz w:val="18"/>
          <w:szCs w:val="18"/>
          <w:lang w:val="en"/>
        </w:rPr>
        <w:t xml:space="preserve"> uploaded since 6 December 2018 and closed on 20</w:t>
      </w:r>
      <w:r w:rsidR="00EE74A8" w:rsidRPr="00FA6CAC">
        <w:rPr>
          <w:rStyle w:val="tlid-translation"/>
          <w:sz w:val="18"/>
          <w:szCs w:val="18"/>
          <w:lang w:val="en"/>
        </w:rPr>
        <w:t xml:space="preserve"> </w:t>
      </w:r>
      <w:r w:rsidRPr="00FA6CAC">
        <w:rPr>
          <w:rStyle w:val="tlid-translation"/>
          <w:sz w:val="18"/>
          <w:szCs w:val="18"/>
          <w:lang w:val="en"/>
        </w:rPr>
        <w:t xml:space="preserve">January 2019. The face-to-face survey was conducted </w:t>
      </w:r>
    </w:p>
    <w:p w:rsidR="00185261" w:rsidRPr="00FA6CAC" w:rsidRDefault="00512245" w:rsidP="001D4C0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16"/>
          <w:szCs w:val="16"/>
        </w:rPr>
      </w:pPr>
      <w:r w:rsidRPr="00FA6CAC">
        <w:rPr>
          <w:rStyle w:val="tlid-translation"/>
          <w:sz w:val="18"/>
          <w:szCs w:val="18"/>
          <w:lang w:val="en"/>
        </w:rPr>
        <w:t xml:space="preserve">in Pontianak City, Pontianak West Kalimantan; Bogor Regency; Bandung district; Brebes Regency; Kebumen Regency; Pekalongan Regency; Cilacap Regency in the period from December 15, 2018 to January 15, 2019. Realized online samples were 420, and face to face including those in Sumedang were 154, bringing the total to 574 as shown in Table </w:t>
      </w:r>
      <w:r w:rsidR="00FA5238" w:rsidRPr="00FA6CAC">
        <w:rPr>
          <w:rStyle w:val="tlid-translation"/>
          <w:sz w:val="18"/>
          <w:szCs w:val="18"/>
          <w:lang w:val="en"/>
        </w:rPr>
        <w:t>2</w:t>
      </w:r>
      <w:r w:rsidRPr="00FA6CAC">
        <w:rPr>
          <w:rStyle w:val="tlid-translation"/>
          <w:sz w:val="18"/>
          <w:szCs w:val="18"/>
          <w:lang w:val="en"/>
        </w:rPr>
        <w:t>.3.</w:t>
      </w:r>
    </w:p>
    <w:p w:rsidR="00185261" w:rsidRPr="001D4C03" w:rsidRDefault="00185261" w:rsidP="001D4C0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18"/>
          <w:szCs w:val="18"/>
        </w:rPr>
      </w:pPr>
    </w:p>
    <w:p w:rsidR="00FA6CAC" w:rsidRDefault="00FA6CAC" w:rsidP="00512245">
      <w:pPr>
        <w:jc w:val="center"/>
        <w:rPr>
          <w:sz w:val="18"/>
          <w:szCs w:val="18"/>
        </w:rPr>
      </w:pPr>
    </w:p>
    <w:p w:rsidR="00FA6CAC" w:rsidRDefault="00FA6CAC" w:rsidP="00512245">
      <w:pPr>
        <w:jc w:val="center"/>
        <w:rPr>
          <w:sz w:val="18"/>
          <w:szCs w:val="18"/>
        </w:rPr>
      </w:pPr>
    </w:p>
    <w:p w:rsidR="00FA6CAC" w:rsidRDefault="00FA6CAC" w:rsidP="00512245">
      <w:pPr>
        <w:jc w:val="center"/>
        <w:rPr>
          <w:sz w:val="18"/>
          <w:szCs w:val="18"/>
        </w:rPr>
      </w:pPr>
    </w:p>
    <w:p w:rsidR="00FA6CAC" w:rsidRDefault="00FA6CAC" w:rsidP="00512245">
      <w:pPr>
        <w:jc w:val="center"/>
        <w:rPr>
          <w:sz w:val="18"/>
          <w:szCs w:val="18"/>
        </w:rPr>
      </w:pPr>
    </w:p>
    <w:p w:rsidR="008D37F5" w:rsidRDefault="008D37F5" w:rsidP="00512245">
      <w:pPr>
        <w:jc w:val="center"/>
        <w:rPr>
          <w:sz w:val="18"/>
          <w:szCs w:val="18"/>
        </w:rPr>
      </w:pPr>
    </w:p>
    <w:p w:rsidR="000100E1" w:rsidRDefault="000100E1" w:rsidP="00512245">
      <w:pPr>
        <w:jc w:val="center"/>
        <w:rPr>
          <w:sz w:val="18"/>
          <w:szCs w:val="18"/>
        </w:rPr>
      </w:pPr>
    </w:p>
    <w:p w:rsidR="008D37F5" w:rsidRDefault="008D37F5" w:rsidP="00512245">
      <w:pPr>
        <w:jc w:val="center"/>
        <w:rPr>
          <w:sz w:val="18"/>
          <w:szCs w:val="18"/>
        </w:rPr>
      </w:pPr>
    </w:p>
    <w:p w:rsidR="00FA6CAC" w:rsidRDefault="00FA6CAC" w:rsidP="00512245">
      <w:pPr>
        <w:jc w:val="center"/>
        <w:rPr>
          <w:sz w:val="18"/>
          <w:szCs w:val="18"/>
        </w:rPr>
      </w:pPr>
    </w:p>
    <w:p w:rsidR="00512245" w:rsidRDefault="00512245" w:rsidP="00512245">
      <w:pPr>
        <w:jc w:val="center"/>
        <w:rPr>
          <w:sz w:val="18"/>
          <w:szCs w:val="18"/>
        </w:rPr>
      </w:pPr>
      <w:r>
        <w:rPr>
          <w:sz w:val="18"/>
          <w:szCs w:val="18"/>
        </w:rPr>
        <w:lastRenderedPageBreak/>
        <w:t>Tab</w:t>
      </w:r>
      <w:r w:rsidR="00A664F9">
        <w:rPr>
          <w:sz w:val="18"/>
          <w:szCs w:val="18"/>
        </w:rPr>
        <w:t>l</w:t>
      </w:r>
      <w:r>
        <w:rPr>
          <w:sz w:val="18"/>
          <w:szCs w:val="18"/>
        </w:rPr>
        <w:t>e 2.3</w:t>
      </w:r>
    </w:p>
    <w:p w:rsidR="00512245" w:rsidRPr="001908BE" w:rsidRDefault="00512245" w:rsidP="00512245">
      <w:pPr>
        <w:jc w:val="center"/>
        <w:rPr>
          <w:sz w:val="18"/>
          <w:szCs w:val="18"/>
        </w:rPr>
      </w:pPr>
      <w:r>
        <w:rPr>
          <w:sz w:val="18"/>
          <w:szCs w:val="18"/>
        </w:rPr>
        <w:t>Reali</w:t>
      </w:r>
      <w:r w:rsidR="00A664F9">
        <w:rPr>
          <w:sz w:val="18"/>
          <w:szCs w:val="18"/>
        </w:rPr>
        <w:t>zation of Research Sites and Samples</w:t>
      </w:r>
    </w:p>
    <w:tbl>
      <w:tblPr>
        <w:tblW w:w="5000" w:type="pct"/>
        <w:tblInd w:w="4" w:type="dxa"/>
        <w:tblBorders>
          <w:top w:val="single" w:sz="18" w:space="0" w:color="auto"/>
          <w:bottom w:val="single" w:sz="18" w:space="0" w:color="auto"/>
        </w:tblBorders>
        <w:tblLayout w:type="fixed"/>
        <w:tblLook w:val="0660" w:firstRow="1" w:lastRow="1" w:firstColumn="0" w:lastColumn="0" w:noHBand="1" w:noVBand="1"/>
      </w:tblPr>
      <w:tblGrid>
        <w:gridCol w:w="1089"/>
        <w:gridCol w:w="757"/>
        <w:gridCol w:w="818"/>
        <w:gridCol w:w="647"/>
        <w:gridCol w:w="393"/>
        <w:gridCol w:w="550"/>
        <w:gridCol w:w="408"/>
      </w:tblGrid>
      <w:tr w:rsidR="00EE74A8" w:rsidRPr="00EE74A8" w:rsidTr="00EE74A8">
        <w:tc>
          <w:tcPr>
            <w:tcW w:w="1167" w:type="pct"/>
            <w:vMerge w:val="restart"/>
            <w:tcBorders>
              <w:top w:val="single" w:sz="8" w:space="0" w:color="auto"/>
              <w:left w:val="single" w:sz="8" w:space="0" w:color="auto"/>
              <w:right w:val="single" w:sz="8" w:space="0" w:color="auto"/>
            </w:tcBorders>
            <w:shd w:val="clear" w:color="auto" w:fill="auto"/>
            <w:noWrap/>
            <w:vAlign w:val="center"/>
          </w:tcPr>
          <w:p w:rsidR="00A664F9" w:rsidRPr="00EE74A8" w:rsidRDefault="00A664F9"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Province</w:t>
            </w:r>
          </w:p>
        </w:tc>
        <w:tc>
          <w:tcPr>
            <w:tcW w:w="811" w:type="pct"/>
            <w:vMerge w:val="restart"/>
            <w:tcBorders>
              <w:top w:val="single" w:sz="8" w:space="0" w:color="auto"/>
              <w:left w:val="single" w:sz="8" w:space="0" w:color="auto"/>
              <w:right w:val="single" w:sz="8" w:space="0" w:color="auto"/>
            </w:tcBorders>
            <w:shd w:val="clear" w:color="auto" w:fill="auto"/>
            <w:vAlign w:val="center"/>
          </w:tcPr>
          <w:p w:rsidR="00FA5238" w:rsidRPr="00EE74A8" w:rsidRDefault="00A664F9"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 xml:space="preserve">No. of </w:t>
            </w:r>
            <w:r w:rsidR="00FA5238" w:rsidRPr="00EE74A8">
              <w:rPr>
                <w:rFonts w:asciiTheme="majorBidi" w:hAnsiTheme="majorBidi" w:cstheme="majorBidi"/>
                <w:sz w:val="16"/>
                <w:szCs w:val="16"/>
              </w:rPr>
              <w:t>Regencies</w:t>
            </w:r>
            <w:r w:rsidRPr="00EE74A8">
              <w:rPr>
                <w:rFonts w:asciiTheme="majorBidi" w:hAnsiTheme="majorBidi" w:cstheme="majorBidi"/>
                <w:sz w:val="16"/>
                <w:szCs w:val="16"/>
              </w:rPr>
              <w:t>/</w:t>
            </w:r>
          </w:p>
          <w:p w:rsidR="00A664F9" w:rsidRPr="00EE74A8" w:rsidRDefault="00A664F9"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Cities</w:t>
            </w:r>
          </w:p>
        </w:tc>
        <w:tc>
          <w:tcPr>
            <w:tcW w:w="877" w:type="pct"/>
            <w:vMerge w:val="restart"/>
            <w:tcBorders>
              <w:top w:val="single" w:sz="8" w:space="0" w:color="auto"/>
              <w:left w:val="single" w:sz="8" w:space="0" w:color="auto"/>
              <w:right w:val="single" w:sz="8" w:space="0" w:color="auto"/>
            </w:tcBorders>
            <w:shd w:val="clear" w:color="auto" w:fill="auto"/>
            <w:vAlign w:val="center"/>
          </w:tcPr>
          <w:p w:rsidR="00A664F9" w:rsidRPr="00EE74A8" w:rsidRDefault="00A664F9"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 xml:space="preserve">No. of </w:t>
            </w:r>
            <w:r w:rsidR="00FA5238" w:rsidRPr="00EE74A8">
              <w:rPr>
                <w:rFonts w:asciiTheme="majorBidi" w:hAnsiTheme="majorBidi" w:cstheme="majorBidi"/>
                <w:sz w:val="16"/>
                <w:szCs w:val="16"/>
              </w:rPr>
              <w:t>Subd</w:t>
            </w:r>
            <w:r w:rsidRPr="00EE74A8">
              <w:rPr>
                <w:rFonts w:asciiTheme="majorBidi" w:hAnsiTheme="majorBidi" w:cstheme="majorBidi"/>
                <w:sz w:val="16"/>
                <w:szCs w:val="16"/>
              </w:rPr>
              <w:t>istric</w:t>
            </w:r>
            <w:r w:rsidR="00FA5238" w:rsidRPr="00EE74A8">
              <w:rPr>
                <w:rFonts w:asciiTheme="majorBidi" w:hAnsiTheme="majorBidi" w:cstheme="majorBidi"/>
                <w:sz w:val="16"/>
                <w:szCs w:val="16"/>
              </w:rPr>
              <w:t>t</w:t>
            </w:r>
            <w:r w:rsidRPr="00EE74A8">
              <w:rPr>
                <w:rFonts w:asciiTheme="majorBidi" w:hAnsiTheme="majorBidi" w:cstheme="majorBidi"/>
                <w:sz w:val="16"/>
                <w:szCs w:val="16"/>
              </w:rPr>
              <w:t>s</w:t>
            </w:r>
          </w:p>
        </w:tc>
        <w:tc>
          <w:tcPr>
            <w:tcW w:w="694" w:type="pct"/>
            <w:vMerge w:val="restart"/>
            <w:tcBorders>
              <w:top w:val="single" w:sz="8" w:space="0" w:color="auto"/>
              <w:left w:val="single" w:sz="8" w:space="0" w:color="auto"/>
              <w:right w:val="single" w:sz="8" w:space="0" w:color="auto"/>
            </w:tcBorders>
            <w:shd w:val="clear" w:color="auto" w:fill="auto"/>
            <w:vAlign w:val="center"/>
          </w:tcPr>
          <w:p w:rsidR="00A664F9" w:rsidRPr="00EE74A8" w:rsidRDefault="00A664F9"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No. of Villages</w:t>
            </w:r>
          </w:p>
        </w:tc>
        <w:tc>
          <w:tcPr>
            <w:tcW w:w="1450" w:type="pct"/>
            <w:gridSpan w:val="3"/>
            <w:tcBorders>
              <w:top w:val="single" w:sz="8" w:space="0" w:color="auto"/>
              <w:left w:val="single" w:sz="8" w:space="0" w:color="auto"/>
              <w:bottom w:val="single" w:sz="8" w:space="0" w:color="auto"/>
              <w:right w:val="single" w:sz="8" w:space="0" w:color="auto"/>
            </w:tcBorders>
            <w:shd w:val="clear" w:color="auto" w:fill="auto"/>
            <w:vAlign w:val="center"/>
          </w:tcPr>
          <w:p w:rsidR="00A664F9" w:rsidRPr="00EE74A8" w:rsidRDefault="00A664F9"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Number of Realized Samples</w:t>
            </w:r>
          </w:p>
        </w:tc>
      </w:tr>
      <w:tr w:rsidR="00EE74A8" w:rsidRPr="00EE74A8" w:rsidTr="00EE74A8">
        <w:tc>
          <w:tcPr>
            <w:tcW w:w="1167" w:type="pct"/>
            <w:vMerge/>
            <w:tcBorders>
              <w:left w:val="single" w:sz="8" w:space="0" w:color="auto"/>
              <w:bottom w:val="single" w:sz="8" w:space="0" w:color="auto"/>
              <w:right w:val="single" w:sz="8" w:space="0" w:color="auto"/>
            </w:tcBorders>
            <w:shd w:val="clear" w:color="auto" w:fill="auto"/>
            <w:noWrap/>
            <w:vAlign w:val="center"/>
          </w:tcPr>
          <w:p w:rsidR="00A664F9" w:rsidRPr="00EE74A8" w:rsidRDefault="00A664F9" w:rsidP="00EE74A8">
            <w:pPr>
              <w:jc w:val="center"/>
              <w:rPr>
                <w:rFonts w:asciiTheme="majorBidi" w:hAnsiTheme="majorBidi" w:cstheme="majorBidi"/>
                <w:sz w:val="16"/>
                <w:szCs w:val="16"/>
              </w:rPr>
            </w:pPr>
          </w:p>
        </w:tc>
        <w:tc>
          <w:tcPr>
            <w:tcW w:w="811" w:type="pct"/>
            <w:vMerge/>
            <w:tcBorders>
              <w:left w:val="single" w:sz="8" w:space="0" w:color="auto"/>
              <w:bottom w:val="single" w:sz="8" w:space="0" w:color="auto"/>
              <w:right w:val="single" w:sz="8" w:space="0" w:color="auto"/>
            </w:tcBorders>
            <w:shd w:val="clear" w:color="auto" w:fill="auto"/>
            <w:vAlign w:val="center"/>
          </w:tcPr>
          <w:p w:rsidR="00A664F9" w:rsidRPr="00EE74A8" w:rsidRDefault="00A664F9" w:rsidP="00EE74A8">
            <w:pPr>
              <w:ind w:left="-116" w:right="-117"/>
              <w:jc w:val="center"/>
              <w:rPr>
                <w:rFonts w:asciiTheme="majorBidi" w:hAnsiTheme="majorBidi" w:cstheme="majorBidi"/>
                <w:sz w:val="16"/>
                <w:szCs w:val="16"/>
              </w:rPr>
            </w:pPr>
          </w:p>
        </w:tc>
        <w:tc>
          <w:tcPr>
            <w:tcW w:w="877" w:type="pct"/>
            <w:vMerge/>
            <w:tcBorders>
              <w:left w:val="single" w:sz="8" w:space="0" w:color="auto"/>
              <w:bottom w:val="single" w:sz="8" w:space="0" w:color="auto"/>
              <w:right w:val="single" w:sz="8" w:space="0" w:color="auto"/>
            </w:tcBorders>
            <w:shd w:val="clear" w:color="auto" w:fill="auto"/>
            <w:vAlign w:val="center"/>
          </w:tcPr>
          <w:p w:rsidR="00A664F9" w:rsidRPr="00EE74A8" w:rsidRDefault="00A664F9" w:rsidP="00EE74A8">
            <w:pPr>
              <w:ind w:left="-116" w:right="-117"/>
              <w:jc w:val="center"/>
              <w:rPr>
                <w:rFonts w:asciiTheme="majorBidi" w:hAnsiTheme="majorBidi" w:cstheme="majorBidi"/>
                <w:sz w:val="16"/>
                <w:szCs w:val="16"/>
              </w:rPr>
            </w:pPr>
          </w:p>
        </w:tc>
        <w:tc>
          <w:tcPr>
            <w:tcW w:w="694" w:type="pct"/>
            <w:vMerge/>
            <w:tcBorders>
              <w:left w:val="single" w:sz="8" w:space="0" w:color="auto"/>
              <w:bottom w:val="single" w:sz="8" w:space="0" w:color="auto"/>
              <w:right w:val="single" w:sz="8" w:space="0" w:color="auto"/>
            </w:tcBorders>
            <w:shd w:val="clear" w:color="auto" w:fill="auto"/>
            <w:vAlign w:val="center"/>
          </w:tcPr>
          <w:p w:rsidR="00A664F9" w:rsidRPr="00EE74A8" w:rsidRDefault="00A664F9" w:rsidP="00EE74A8">
            <w:pPr>
              <w:ind w:left="-116" w:right="-117"/>
              <w:jc w:val="center"/>
              <w:rPr>
                <w:rFonts w:asciiTheme="majorBidi" w:hAnsiTheme="majorBidi" w:cstheme="majorBidi"/>
                <w:sz w:val="16"/>
                <w:szCs w:val="16"/>
              </w:rPr>
            </w:pPr>
          </w:p>
        </w:tc>
        <w:tc>
          <w:tcPr>
            <w:tcW w:w="422" w:type="pct"/>
            <w:tcBorders>
              <w:top w:val="single" w:sz="8" w:space="0" w:color="auto"/>
              <w:left w:val="single" w:sz="8" w:space="0" w:color="auto"/>
              <w:bottom w:val="single" w:sz="8" w:space="0" w:color="auto"/>
              <w:right w:val="single" w:sz="8" w:space="0" w:color="auto"/>
            </w:tcBorders>
            <w:shd w:val="clear" w:color="auto" w:fill="auto"/>
            <w:vAlign w:val="center"/>
          </w:tcPr>
          <w:p w:rsidR="00A664F9" w:rsidRPr="00EE74A8" w:rsidRDefault="00A664F9"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On-line</w:t>
            </w:r>
          </w:p>
        </w:tc>
        <w:tc>
          <w:tcPr>
            <w:tcW w:w="590" w:type="pct"/>
            <w:tcBorders>
              <w:top w:val="single" w:sz="8" w:space="0" w:color="auto"/>
              <w:left w:val="single" w:sz="8" w:space="0" w:color="auto"/>
              <w:bottom w:val="single" w:sz="8" w:space="0" w:color="auto"/>
              <w:right w:val="single" w:sz="8" w:space="0" w:color="auto"/>
            </w:tcBorders>
            <w:shd w:val="clear" w:color="auto" w:fill="auto"/>
            <w:vAlign w:val="center"/>
          </w:tcPr>
          <w:p w:rsidR="00A664F9" w:rsidRPr="00EE74A8" w:rsidRDefault="00A664F9"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Face to Face</w:t>
            </w:r>
          </w:p>
        </w:tc>
        <w:tc>
          <w:tcPr>
            <w:tcW w:w="438" w:type="pct"/>
            <w:tcBorders>
              <w:top w:val="single" w:sz="8" w:space="0" w:color="auto"/>
              <w:left w:val="single" w:sz="8" w:space="0" w:color="auto"/>
              <w:bottom w:val="single" w:sz="8" w:space="0" w:color="auto"/>
              <w:right w:val="single" w:sz="8" w:space="0" w:color="auto"/>
            </w:tcBorders>
            <w:shd w:val="clear" w:color="auto" w:fill="auto"/>
            <w:vAlign w:val="center"/>
          </w:tcPr>
          <w:p w:rsidR="00A664F9" w:rsidRPr="00EE74A8" w:rsidRDefault="00A664F9"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Total</w:t>
            </w:r>
          </w:p>
        </w:tc>
      </w:tr>
      <w:tr w:rsidR="00EE74A8" w:rsidRPr="00EE74A8" w:rsidTr="00EE74A8">
        <w:tc>
          <w:tcPr>
            <w:tcW w:w="1167" w:type="pct"/>
            <w:tcBorders>
              <w:top w:val="single" w:sz="8" w:space="0" w:color="auto"/>
              <w:left w:val="single" w:sz="8" w:space="0" w:color="auto"/>
              <w:bottom w:val="single" w:sz="8" w:space="0" w:color="auto"/>
              <w:right w:val="single" w:sz="8" w:space="0" w:color="auto"/>
            </w:tcBorders>
            <w:shd w:val="clear" w:color="auto" w:fill="auto"/>
            <w:noWrap/>
            <w:vAlign w:val="center"/>
          </w:tcPr>
          <w:p w:rsidR="00512245" w:rsidRPr="00EE74A8" w:rsidRDefault="00512245" w:rsidP="00EE74A8">
            <w:pPr>
              <w:ind w:left="-50" w:right="-47"/>
              <w:rPr>
                <w:rFonts w:asciiTheme="majorBidi" w:hAnsiTheme="majorBidi" w:cstheme="majorBidi"/>
                <w:sz w:val="16"/>
                <w:szCs w:val="16"/>
              </w:rPr>
            </w:pPr>
            <w:r w:rsidRPr="00EE74A8">
              <w:rPr>
                <w:rFonts w:asciiTheme="majorBidi" w:hAnsiTheme="majorBidi" w:cstheme="majorBidi"/>
                <w:sz w:val="16"/>
                <w:szCs w:val="16"/>
              </w:rPr>
              <w:t>Jawa Barat</w:t>
            </w:r>
          </w:p>
        </w:tc>
        <w:tc>
          <w:tcPr>
            <w:tcW w:w="811" w:type="pct"/>
            <w:tcBorders>
              <w:top w:val="single" w:sz="8" w:space="0" w:color="auto"/>
              <w:left w:val="single" w:sz="8" w:space="0" w:color="auto"/>
              <w:bottom w:val="single" w:sz="8" w:space="0" w:color="auto"/>
              <w:right w:val="single" w:sz="8" w:space="0" w:color="auto"/>
            </w:tcBorders>
            <w:shd w:val="clear" w:color="auto" w:fill="auto"/>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16</w:t>
            </w:r>
          </w:p>
        </w:tc>
        <w:tc>
          <w:tcPr>
            <w:tcW w:w="877" w:type="pct"/>
            <w:tcBorders>
              <w:top w:val="single" w:sz="8" w:space="0" w:color="auto"/>
              <w:left w:val="single" w:sz="8" w:space="0" w:color="auto"/>
              <w:bottom w:val="single" w:sz="8" w:space="0" w:color="auto"/>
              <w:right w:val="single" w:sz="8" w:space="0" w:color="auto"/>
            </w:tcBorders>
            <w:shd w:val="clear" w:color="auto" w:fill="auto"/>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62</w:t>
            </w:r>
          </w:p>
        </w:tc>
        <w:tc>
          <w:tcPr>
            <w:tcW w:w="694" w:type="pct"/>
            <w:tcBorders>
              <w:top w:val="single" w:sz="8" w:space="0" w:color="auto"/>
              <w:left w:val="single" w:sz="8" w:space="0" w:color="auto"/>
              <w:bottom w:val="single" w:sz="8" w:space="0" w:color="auto"/>
              <w:right w:val="single" w:sz="8" w:space="0" w:color="auto"/>
            </w:tcBorders>
            <w:shd w:val="clear" w:color="auto" w:fill="auto"/>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78</w:t>
            </w:r>
          </w:p>
        </w:tc>
        <w:tc>
          <w:tcPr>
            <w:tcW w:w="422"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98</w:t>
            </w:r>
          </w:p>
        </w:tc>
        <w:tc>
          <w:tcPr>
            <w:tcW w:w="590" w:type="pct"/>
            <w:tcBorders>
              <w:top w:val="single" w:sz="8" w:space="0" w:color="auto"/>
              <w:left w:val="single" w:sz="8" w:space="0" w:color="auto"/>
              <w:bottom w:val="single" w:sz="8" w:space="0" w:color="auto"/>
              <w:right w:val="single" w:sz="8" w:space="0" w:color="auto"/>
            </w:tcBorders>
            <w:shd w:val="clear" w:color="auto" w:fill="auto"/>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115</w:t>
            </w:r>
          </w:p>
        </w:tc>
        <w:tc>
          <w:tcPr>
            <w:tcW w:w="438"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213</w:t>
            </w:r>
          </w:p>
        </w:tc>
      </w:tr>
      <w:tr w:rsidR="00EE74A8" w:rsidRPr="00EE74A8" w:rsidTr="00EE74A8">
        <w:tc>
          <w:tcPr>
            <w:tcW w:w="1167" w:type="pct"/>
            <w:tcBorders>
              <w:top w:val="single" w:sz="8" w:space="0" w:color="auto"/>
              <w:left w:val="single" w:sz="8" w:space="0" w:color="auto"/>
              <w:bottom w:val="single" w:sz="8" w:space="0" w:color="auto"/>
              <w:right w:val="single" w:sz="8" w:space="0" w:color="auto"/>
            </w:tcBorders>
            <w:shd w:val="clear" w:color="auto" w:fill="auto"/>
            <w:noWrap/>
          </w:tcPr>
          <w:p w:rsidR="00512245" w:rsidRPr="00EE74A8" w:rsidRDefault="00512245" w:rsidP="00EE74A8">
            <w:pPr>
              <w:ind w:left="-50" w:right="-47"/>
              <w:rPr>
                <w:rFonts w:asciiTheme="majorBidi" w:hAnsiTheme="majorBidi" w:cstheme="majorBidi"/>
                <w:sz w:val="16"/>
                <w:szCs w:val="16"/>
              </w:rPr>
            </w:pPr>
            <w:r w:rsidRPr="00EE74A8">
              <w:rPr>
                <w:rFonts w:asciiTheme="majorBidi" w:hAnsiTheme="majorBidi" w:cstheme="majorBidi"/>
                <w:sz w:val="16"/>
                <w:szCs w:val="16"/>
              </w:rPr>
              <w:t>DKI Jakarta</w:t>
            </w:r>
          </w:p>
        </w:tc>
        <w:tc>
          <w:tcPr>
            <w:tcW w:w="811"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5</w:t>
            </w:r>
          </w:p>
        </w:tc>
        <w:tc>
          <w:tcPr>
            <w:tcW w:w="877"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28</w:t>
            </w:r>
          </w:p>
        </w:tc>
        <w:tc>
          <w:tcPr>
            <w:tcW w:w="694"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47</w:t>
            </w:r>
          </w:p>
        </w:tc>
        <w:tc>
          <w:tcPr>
            <w:tcW w:w="422"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60</w:t>
            </w:r>
          </w:p>
        </w:tc>
        <w:tc>
          <w:tcPr>
            <w:tcW w:w="590"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1</w:t>
            </w:r>
          </w:p>
        </w:tc>
        <w:tc>
          <w:tcPr>
            <w:tcW w:w="438"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61</w:t>
            </w:r>
          </w:p>
        </w:tc>
      </w:tr>
      <w:tr w:rsidR="00EE74A8" w:rsidRPr="00EE74A8" w:rsidTr="00EE74A8">
        <w:tc>
          <w:tcPr>
            <w:tcW w:w="1167" w:type="pct"/>
            <w:tcBorders>
              <w:top w:val="single" w:sz="8" w:space="0" w:color="auto"/>
              <w:left w:val="single" w:sz="8" w:space="0" w:color="auto"/>
              <w:bottom w:val="single" w:sz="8" w:space="0" w:color="auto"/>
              <w:right w:val="single" w:sz="8" w:space="0" w:color="auto"/>
            </w:tcBorders>
            <w:shd w:val="clear" w:color="auto" w:fill="auto"/>
            <w:noWrap/>
            <w:vAlign w:val="center"/>
          </w:tcPr>
          <w:p w:rsidR="00512245" w:rsidRPr="00EE74A8" w:rsidRDefault="00512245" w:rsidP="00EE74A8">
            <w:pPr>
              <w:ind w:left="-50" w:right="-47"/>
              <w:rPr>
                <w:rFonts w:asciiTheme="majorBidi" w:hAnsiTheme="majorBidi" w:cstheme="majorBidi"/>
                <w:sz w:val="16"/>
                <w:szCs w:val="16"/>
              </w:rPr>
            </w:pPr>
            <w:r w:rsidRPr="00EE74A8">
              <w:rPr>
                <w:rFonts w:asciiTheme="majorBidi" w:hAnsiTheme="majorBidi" w:cstheme="majorBidi"/>
                <w:sz w:val="16"/>
                <w:szCs w:val="16"/>
              </w:rPr>
              <w:t>Banten</w:t>
            </w:r>
          </w:p>
        </w:tc>
        <w:tc>
          <w:tcPr>
            <w:tcW w:w="811"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8</w:t>
            </w:r>
          </w:p>
        </w:tc>
        <w:tc>
          <w:tcPr>
            <w:tcW w:w="877"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19</w:t>
            </w:r>
          </w:p>
        </w:tc>
        <w:tc>
          <w:tcPr>
            <w:tcW w:w="694"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30</w:t>
            </w:r>
          </w:p>
        </w:tc>
        <w:tc>
          <w:tcPr>
            <w:tcW w:w="422"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27</w:t>
            </w:r>
          </w:p>
        </w:tc>
        <w:tc>
          <w:tcPr>
            <w:tcW w:w="590"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9</w:t>
            </w:r>
          </w:p>
        </w:tc>
        <w:tc>
          <w:tcPr>
            <w:tcW w:w="438"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36</w:t>
            </w:r>
          </w:p>
        </w:tc>
      </w:tr>
      <w:tr w:rsidR="00EE74A8" w:rsidRPr="00EE74A8" w:rsidTr="00EE74A8">
        <w:tc>
          <w:tcPr>
            <w:tcW w:w="1167" w:type="pct"/>
            <w:tcBorders>
              <w:top w:val="single" w:sz="8" w:space="0" w:color="auto"/>
              <w:left w:val="single" w:sz="8" w:space="0" w:color="auto"/>
              <w:bottom w:val="single" w:sz="8" w:space="0" w:color="auto"/>
              <w:right w:val="single" w:sz="8" w:space="0" w:color="auto"/>
            </w:tcBorders>
            <w:shd w:val="clear" w:color="auto" w:fill="auto"/>
            <w:noWrap/>
          </w:tcPr>
          <w:p w:rsidR="00512245" w:rsidRPr="00EE74A8" w:rsidRDefault="00512245" w:rsidP="00EE74A8">
            <w:pPr>
              <w:ind w:left="-50" w:right="-47"/>
              <w:rPr>
                <w:rFonts w:asciiTheme="majorBidi" w:hAnsiTheme="majorBidi" w:cstheme="majorBidi"/>
                <w:sz w:val="16"/>
                <w:szCs w:val="16"/>
              </w:rPr>
            </w:pPr>
            <w:r w:rsidRPr="00EE74A8">
              <w:rPr>
                <w:rFonts w:asciiTheme="majorBidi" w:hAnsiTheme="majorBidi" w:cstheme="majorBidi"/>
                <w:sz w:val="16"/>
                <w:szCs w:val="16"/>
              </w:rPr>
              <w:t>Jawa Tengah</w:t>
            </w:r>
          </w:p>
        </w:tc>
        <w:tc>
          <w:tcPr>
            <w:tcW w:w="811"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11</w:t>
            </w:r>
          </w:p>
        </w:tc>
        <w:tc>
          <w:tcPr>
            <w:tcW w:w="877"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15</w:t>
            </w:r>
          </w:p>
        </w:tc>
        <w:tc>
          <w:tcPr>
            <w:tcW w:w="694"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15</w:t>
            </w:r>
          </w:p>
        </w:tc>
        <w:tc>
          <w:tcPr>
            <w:tcW w:w="422"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13</w:t>
            </w:r>
          </w:p>
        </w:tc>
        <w:tc>
          <w:tcPr>
            <w:tcW w:w="590"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12</w:t>
            </w:r>
          </w:p>
        </w:tc>
        <w:tc>
          <w:tcPr>
            <w:tcW w:w="438"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25</w:t>
            </w:r>
          </w:p>
        </w:tc>
      </w:tr>
      <w:tr w:rsidR="00EE74A8" w:rsidRPr="00EE74A8" w:rsidTr="00EE74A8">
        <w:tc>
          <w:tcPr>
            <w:tcW w:w="1167" w:type="pct"/>
            <w:tcBorders>
              <w:top w:val="single" w:sz="8" w:space="0" w:color="auto"/>
              <w:left w:val="single" w:sz="8" w:space="0" w:color="auto"/>
              <w:bottom w:val="single" w:sz="8" w:space="0" w:color="auto"/>
              <w:right w:val="single" w:sz="8" w:space="0" w:color="auto"/>
            </w:tcBorders>
            <w:shd w:val="clear" w:color="auto" w:fill="auto"/>
            <w:noWrap/>
          </w:tcPr>
          <w:p w:rsidR="00512245" w:rsidRPr="00EE74A8" w:rsidRDefault="00512245" w:rsidP="00EE74A8">
            <w:pPr>
              <w:ind w:left="-50" w:right="-47"/>
              <w:rPr>
                <w:rFonts w:asciiTheme="majorBidi" w:hAnsiTheme="majorBidi" w:cstheme="majorBidi"/>
                <w:sz w:val="16"/>
                <w:szCs w:val="16"/>
              </w:rPr>
            </w:pPr>
            <w:r w:rsidRPr="00EE74A8">
              <w:rPr>
                <w:rFonts w:asciiTheme="majorBidi" w:hAnsiTheme="majorBidi" w:cstheme="majorBidi"/>
                <w:sz w:val="16"/>
                <w:szCs w:val="16"/>
              </w:rPr>
              <w:t>DI Yogyakarta</w:t>
            </w:r>
          </w:p>
        </w:tc>
        <w:tc>
          <w:tcPr>
            <w:tcW w:w="811"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2</w:t>
            </w:r>
          </w:p>
        </w:tc>
        <w:tc>
          <w:tcPr>
            <w:tcW w:w="877"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5</w:t>
            </w:r>
          </w:p>
        </w:tc>
        <w:tc>
          <w:tcPr>
            <w:tcW w:w="694"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5</w:t>
            </w:r>
          </w:p>
        </w:tc>
        <w:tc>
          <w:tcPr>
            <w:tcW w:w="422"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5</w:t>
            </w:r>
          </w:p>
        </w:tc>
        <w:tc>
          <w:tcPr>
            <w:tcW w:w="590"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w:t>
            </w:r>
          </w:p>
        </w:tc>
        <w:tc>
          <w:tcPr>
            <w:tcW w:w="438"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5</w:t>
            </w:r>
          </w:p>
        </w:tc>
      </w:tr>
      <w:tr w:rsidR="00EE74A8" w:rsidRPr="00EE74A8" w:rsidTr="00EE74A8">
        <w:tc>
          <w:tcPr>
            <w:tcW w:w="1167" w:type="pct"/>
            <w:tcBorders>
              <w:top w:val="single" w:sz="8" w:space="0" w:color="auto"/>
              <w:left w:val="single" w:sz="8" w:space="0" w:color="auto"/>
              <w:bottom w:val="single" w:sz="8" w:space="0" w:color="auto"/>
              <w:right w:val="single" w:sz="8" w:space="0" w:color="auto"/>
            </w:tcBorders>
            <w:shd w:val="clear" w:color="auto" w:fill="auto"/>
            <w:noWrap/>
          </w:tcPr>
          <w:p w:rsidR="00512245" w:rsidRPr="00EE74A8" w:rsidRDefault="00512245" w:rsidP="00EE74A8">
            <w:pPr>
              <w:ind w:left="-50" w:right="-47"/>
              <w:rPr>
                <w:rFonts w:asciiTheme="majorBidi" w:hAnsiTheme="majorBidi" w:cstheme="majorBidi"/>
                <w:sz w:val="16"/>
                <w:szCs w:val="16"/>
              </w:rPr>
            </w:pPr>
            <w:r w:rsidRPr="00EE74A8">
              <w:rPr>
                <w:rFonts w:asciiTheme="majorBidi" w:hAnsiTheme="majorBidi" w:cstheme="majorBidi"/>
                <w:sz w:val="16"/>
                <w:szCs w:val="16"/>
              </w:rPr>
              <w:t>Jawa Timur</w:t>
            </w:r>
          </w:p>
        </w:tc>
        <w:tc>
          <w:tcPr>
            <w:tcW w:w="811"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16</w:t>
            </w:r>
          </w:p>
        </w:tc>
        <w:tc>
          <w:tcPr>
            <w:tcW w:w="877"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44</w:t>
            </w:r>
          </w:p>
        </w:tc>
        <w:tc>
          <w:tcPr>
            <w:tcW w:w="694"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53</w:t>
            </w:r>
          </w:p>
        </w:tc>
        <w:tc>
          <w:tcPr>
            <w:tcW w:w="422"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63</w:t>
            </w:r>
          </w:p>
        </w:tc>
        <w:tc>
          <w:tcPr>
            <w:tcW w:w="590"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w:t>
            </w:r>
          </w:p>
        </w:tc>
        <w:tc>
          <w:tcPr>
            <w:tcW w:w="438"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63</w:t>
            </w:r>
          </w:p>
        </w:tc>
      </w:tr>
      <w:tr w:rsidR="00EE74A8" w:rsidRPr="00EE74A8" w:rsidTr="00EE74A8">
        <w:tc>
          <w:tcPr>
            <w:tcW w:w="1167" w:type="pct"/>
            <w:tcBorders>
              <w:top w:val="single" w:sz="8" w:space="0" w:color="auto"/>
              <w:left w:val="single" w:sz="8" w:space="0" w:color="auto"/>
              <w:bottom w:val="single" w:sz="8" w:space="0" w:color="auto"/>
              <w:right w:val="single" w:sz="8" w:space="0" w:color="auto"/>
            </w:tcBorders>
            <w:shd w:val="clear" w:color="auto" w:fill="auto"/>
            <w:noWrap/>
            <w:vAlign w:val="center"/>
          </w:tcPr>
          <w:p w:rsidR="00512245" w:rsidRPr="00EE74A8" w:rsidRDefault="00512245" w:rsidP="00EE74A8">
            <w:pPr>
              <w:ind w:left="-50" w:right="-47"/>
              <w:rPr>
                <w:rFonts w:asciiTheme="majorBidi" w:hAnsiTheme="majorBidi" w:cstheme="majorBidi"/>
                <w:sz w:val="16"/>
                <w:szCs w:val="16"/>
              </w:rPr>
            </w:pPr>
            <w:r w:rsidRPr="00EE74A8">
              <w:rPr>
                <w:rFonts w:asciiTheme="majorBidi" w:hAnsiTheme="majorBidi" w:cstheme="majorBidi"/>
                <w:sz w:val="16"/>
                <w:szCs w:val="16"/>
              </w:rPr>
              <w:t>Kalimantan Barat</w:t>
            </w:r>
          </w:p>
        </w:tc>
        <w:tc>
          <w:tcPr>
            <w:tcW w:w="811"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1</w:t>
            </w:r>
          </w:p>
        </w:tc>
        <w:tc>
          <w:tcPr>
            <w:tcW w:w="877"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4</w:t>
            </w:r>
          </w:p>
        </w:tc>
        <w:tc>
          <w:tcPr>
            <w:tcW w:w="694"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8</w:t>
            </w:r>
          </w:p>
        </w:tc>
        <w:tc>
          <w:tcPr>
            <w:tcW w:w="422"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7</w:t>
            </w:r>
          </w:p>
        </w:tc>
        <w:tc>
          <w:tcPr>
            <w:tcW w:w="590"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17</w:t>
            </w:r>
          </w:p>
        </w:tc>
        <w:tc>
          <w:tcPr>
            <w:tcW w:w="438"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24</w:t>
            </w:r>
          </w:p>
        </w:tc>
      </w:tr>
      <w:tr w:rsidR="00EE74A8" w:rsidRPr="00EE74A8" w:rsidTr="00EE74A8">
        <w:tc>
          <w:tcPr>
            <w:tcW w:w="1167" w:type="pct"/>
            <w:tcBorders>
              <w:top w:val="single" w:sz="8" w:space="0" w:color="auto"/>
              <w:left w:val="single" w:sz="8" w:space="0" w:color="auto"/>
              <w:bottom w:val="single" w:sz="8" w:space="0" w:color="auto"/>
              <w:right w:val="single" w:sz="8" w:space="0" w:color="auto"/>
            </w:tcBorders>
            <w:shd w:val="clear" w:color="auto" w:fill="auto"/>
            <w:noWrap/>
          </w:tcPr>
          <w:p w:rsidR="00512245" w:rsidRPr="00EE74A8" w:rsidRDefault="00512245" w:rsidP="00EE74A8">
            <w:pPr>
              <w:ind w:left="-50" w:right="-47"/>
              <w:rPr>
                <w:rFonts w:asciiTheme="majorBidi" w:hAnsiTheme="majorBidi" w:cstheme="majorBidi"/>
                <w:sz w:val="16"/>
                <w:szCs w:val="16"/>
              </w:rPr>
            </w:pPr>
            <w:r w:rsidRPr="00EE74A8">
              <w:rPr>
                <w:rFonts w:asciiTheme="majorBidi" w:hAnsiTheme="majorBidi" w:cstheme="majorBidi"/>
                <w:sz w:val="16"/>
                <w:szCs w:val="16"/>
              </w:rPr>
              <w:t>Kalimantan Selatan</w:t>
            </w:r>
          </w:p>
        </w:tc>
        <w:tc>
          <w:tcPr>
            <w:tcW w:w="811"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5</w:t>
            </w:r>
          </w:p>
        </w:tc>
        <w:tc>
          <w:tcPr>
            <w:tcW w:w="877"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16</w:t>
            </w:r>
          </w:p>
        </w:tc>
        <w:tc>
          <w:tcPr>
            <w:tcW w:w="694"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26</w:t>
            </w:r>
          </w:p>
        </w:tc>
        <w:tc>
          <w:tcPr>
            <w:tcW w:w="422"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45</w:t>
            </w:r>
          </w:p>
        </w:tc>
        <w:tc>
          <w:tcPr>
            <w:tcW w:w="590"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w:t>
            </w:r>
          </w:p>
        </w:tc>
        <w:tc>
          <w:tcPr>
            <w:tcW w:w="438"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45</w:t>
            </w:r>
          </w:p>
        </w:tc>
      </w:tr>
      <w:tr w:rsidR="00EE74A8" w:rsidRPr="00EE74A8" w:rsidTr="00EE74A8">
        <w:tc>
          <w:tcPr>
            <w:tcW w:w="1167" w:type="pct"/>
            <w:tcBorders>
              <w:top w:val="single" w:sz="8" w:space="0" w:color="auto"/>
              <w:left w:val="single" w:sz="8" w:space="0" w:color="auto"/>
              <w:bottom w:val="single" w:sz="8" w:space="0" w:color="auto"/>
              <w:right w:val="single" w:sz="8" w:space="0" w:color="auto"/>
            </w:tcBorders>
            <w:shd w:val="clear" w:color="auto" w:fill="auto"/>
            <w:noWrap/>
          </w:tcPr>
          <w:p w:rsidR="00512245" w:rsidRPr="00EE74A8" w:rsidRDefault="00512245" w:rsidP="00EE74A8">
            <w:pPr>
              <w:ind w:left="-50" w:right="-47"/>
              <w:rPr>
                <w:rFonts w:asciiTheme="majorBidi" w:hAnsiTheme="majorBidi" w:cstheme="majorBidi"/>
                <w:sz w:val="16"/>
                <w:szCs w:val="16"/>
              </w:rPr>
            </w:pPr>
            <w:r w:rsidRPr="00EE74A8">
              <w:rPr>
                <w:rFonts w:asciiTheme="majorBidi" w:hAnsiTheme="majorBidi" w:cstheme="majorBidi"/>
                <w:sz w:val="16"/>
                <w:szCs w:val="16"/>
              </w:rPr>
              <w:t>Kalimantan Timur</w:t>
            </w:r>
          </w:p>
        </w:tc>
        <w:tc>
          <w:tcPr>
            <w:tcW w:w="811"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3</w:t>
            </w:r>
          </w:p>
        </w:tc>
        <w:tc>
          <w:tcPr>
            <w:tcW w:w="877"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4</w:t>
            </w:r>
          </w:p>
        </w:tc>
        <w:tc>
          <w:tcPr>
            <w:tcW w:w="694"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4</w:t>
            </w:r>
          </w:p>
        </w:tc>
        <w:tc>
          <w:tcPr>
            <w:tcW w:w="422"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4</w:t>
            </w:r>
          </w:p>
        </w:tc>
        <w:tc>
          <w:tcPr>
            <w:tcW w:w="590"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w:t>
            </w:r>
          </w:p>
        </w:tc>
        <w:tc>
          <w:tcPr>
            <w:tcW w:w="438"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4</w:t>
            </w:r>
          </w:p>
        </w:tc>
      </w:tr>
      <w:tr w:rsidR="00EE74A8" w:rsidRPr="00EE74A8" w:rsidTr="00EE74A8">
        <w:tc>
          <w:tcPr>
            <w:tcW w:w="1167" w:type="pct"/>
            <w:tcBorders>
              <w:top w:val="single" w:sz="8" w:space="0" w:color="auto"/>
              <w:left w:val="single" w:sz="8" w:space="0" w:color="auto"/>
              <w:bottom w:val="single" w:sz="8" w:space="0" w:color="auto"/>
              <w:right w:val="single" w:sz="8" w:space="0" w:color="auto"/>
            </w:tcBorders>
            <w:shd w:val="clear" w:color="auto" w:fill="auto"/>
            <w:noWrap/>
          </w:tcPr>
          <w:p w:rsidR="00512245" w:rsidRPr="00EE74A8" w:rsidRDefault="00512245" w:rsidP="00EE74A8">
            <w:pPr>
              <w:ind w:left="-50" w:right="-47"/>
              <w:rPr>
                <w:rFonts w:asciiTheme="majorBidi" w:hAnsiTheme="majorBidi" w:cstheme="majorBidi"/>
                <w:sz w:val="16"/>
                <w:szCs w:val="16"/>
              </w:rPr>
            </w:pPr>
            <w:r w:rsidRPr="00EE74A8">
              <w:rPr>
                <w:rFonts w:asciiTheme="majorBidi" w:hAnsiTheme="majorBidi" w:cstheme="majorBidi"/>
                <w:sz w:val="16"/>
                <w:szCs w:val="16"/>
              </w:rPr>
              <w:t>Kepulauan Riau</w:t>
            </w:r>
          </w:p>
        </w:tc>
        <w:tc>
          <w:tcPr>
            <w:tcW w:w="811"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1</w:t>
            </w:r>
          </w:p>
        </w:tc>
        <w:tc>
          <w:tcPr>
            <w:tcW w:w="877"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7</w:t>
            </w:r>
          </w:p>
        </w:tc>
        <w:tc>
          <w:tcPr>
            <w:tcW w:w="694"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17</w:t>
            </w:r>
          </w:p>
        </w:tc>
        <w:tc>
          <w:tcPr>
            <w:tcW w:w="422"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33</w:t>
            </w:r>
          </w:p>
        </w:tc>
        <w:tc>
          <w:tcPr>
            <w:tcW w:w="590"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w:t>
            </w:r>
          </w:p>
        </w:tc>
        <w:tc>
          <w:tcPr>
            <w:tcW w:w="438"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33</w:t>
            </w:r>
          </w:p>
        </w:tc>
      </w:tr>
      <w:tr w:rsidR="00EE74A8" w:rsidRPr="00EE74A8" w:rsidTr="00EE74A8">
        <w:tc>
          <w:tcPr>
            <w:tcW w:w="1167" w:type="pct"/>
            <w:tcBorders>
              <w:top w:val="single" w:sz="8" w:space="0" w:color="auto"/>
              <w:left w:val="single" w:sz="8" w:space="0" w:color="auto"/>
              <w:bottom w:val="single" w:sz="8" w:space="0" w:color="auto"/>
              <w:right w:val="single" w:sz="8" w:space="0" w:color="auto"/>
            </w:tcBorders>
            <w:shd w:val="clear" w:color="auto" w:fill="auto"/>
            <w:noWrap/>
          </w:tcPr>
          <w:p w:rsidR="00512245" w:rsidRPr="00EE74A8" w:rsidRDefault="00512245" w:rsidP="00EE74A8">
            <w:pPr>
              <w:ind w:left="-50" w:right="-47"/>
              <w:rPr>
                <w:rFonts w:asciiTheme="majorBidi" w:hAnsiTheme="majorBidi" w:cstheme="majorBidi"/>
                <w:sz w:val="16"/>
                <w:szCs w:val="16"/>
              </w:rPr>
            </w:pPr>
            <w:r w:rsidRPr="00EE74A8">
              <w:rPr>
                <w:rFonts w:asciiTheme="majorBidi" w:hAnsiTheme="majorBidi" w:cstheme="majorBidi"/>
                <w:sz w:val="16"/>
                <w:szCs w:val="16"/>
              </w:rPr>
              <w:t>Riau</w:t>
            </w:r>
          </w:p>
        </w:tc>
        <w:tc>
          <w:tcPr>
            <w:tcW w:w="811"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1</w:t>
            </w:r>
          </w:p>
        </w:tc>
        <w:tc>
          <w:tcPr>
            <w:tcW w:w="877"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3</w:t>
            </w:r>
          </w:p>
        </w:tc>
        <w:tc>
          <w:tcPr>
            <w:tcW w:w="694"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6</w:t>
            </w:r>
          </w:p>
        </w:tc>
        <w:tc>
          <w:tcPr>
            <w:tcW w:w="422"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6</w:t>
            </w:r>
          </w:p>
        </w:tc>
        <w:tc>
          <w:tcPr>
            <w:tcW w:w="590"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w:t>
            </w:r>
          </w:p>
        </w:tc>
        <w:tc>
          <w:tcPr>
            <w:tcW w:w="438"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6</w:t>
            </w:r>
          </w:p>
        </w:tc>
      </w:tr>
      <w:tr w:rsidR="00EE74A8" w:rsidRPr="00EE74A8" w:rsidTr="00EE74A8">
        <w:tc>
          <w:tcPr>
            <w:tcW w:w="1167" w:type="pct"/>
            <w:tcBorders>
              <w:top w:val="single" w:sz="8" w:space="0" w:color="auto"/>
              <w:left w:val="single" w:sz="8" w:space="0" w:color="auto"/>
              <w:bottom w:val="single" w:sz="8" w:space="0" w:color="auto"/>
              <w:right w:val="single" w:sz="8" w:space="0" w:color="auto"/>
            </w:tcBorders>
            <w:shd w:val="clear" w:color="auto" w:fill="auto"/>
            <w:noWrap/>
          </w:tcPr>
          <w:p w:rsidR="00512245" w:rsidRPr="00EE74A8" w:rsidRDefault="00512245" w:rsidP="00EE74A8">
            <w:pPr>
              <w:ind w:left="-50" w:right="-47"/>
              <w:rPr>
                <w:rFonts w:asciiTheme="majorBidi" w:hAnsiTheme="majorBidi" w:cstheme="majorBidi"/>
                <w:sz w:val="16"/>
                <w:szCs w:val="16"/>
              </w:rPr>
            </w:pPr>
            <w:r w:rsidRPr="00EE74A8">
              <w:rPr>
                <w:rFonts w:asciiTheme="majorBidi" w:hAnsiTheme="majorBidi" w:cstheme="majorBidi"/>
                <w:sz w:val="16"/>
                <w:szCs w:val="16"/>
              </w:rPr>
              <w:t>Sumatera Barat</w:t>
            </w:r>
          </w:p>
        </w:tc>
        <w:tc>
          <w:tcPr>
            <w:tcW w:w="811"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2</w:t>
            </w:r>
          </w:p>
        </w:tc>
        <w:tc>
          <w:tcPr>
            <w:tcW w:w="877"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3</w:t>
            </w:r>
          </w:p>
        </w:tc>
        <w:tc>
          <w:tcPr>
            <w:tcW w:w="694"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3</w:t>
            </w:r>
          </w:p>
        </w:tc>
        <w:tc>
          <w:tcPr>
            <w:tcW w:w="422"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4</w:t>
            </w:r>
          </w:p>
        </w:tc>
        <w:tc>
          <w:tcPr>
            <w:tcW w:w="590"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w:t>
            </w:r>
          </w:p>
        </w:tc>
        <w:tc>
          <w:tcPr>
            <w:tcW w:w="438"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4</w:t>
            </w:r>
          </w:p>
        </w:tc>
      </w:tr>
      <w:tr w:rsidR="00EE74A8" w:rsidRPr="00EE74A8" w:rsidTr="00EE74A8">
        <w:tc>
          <w:tcPr>
            <w:tcW w:w="1167" w:type="pct"/>
            <w:tcBorders>
              <w:top w:val="single" w:sz="8" w:space="0" w:color="auto"/>
              <w:left w:val="single" w:sz="8" w:space="0" w:color="auto"/>
              <w:bottom w:val="single" w:sz="8" w:space="0" w:color="auto"/>
              <w:right w:val="single" w:sz="8" w:space="0" w:color="auto"/>
            </w:tcBorders>
            <w:shd w:val="clear" w:color="auto" w:fill="auto"/>
            <w:noWrap/>
          </w:tcPr>
          <w:p w:rsidR="00512245" w:rsidRPr="00EE74A8" w:rsidRDefault="00512245" w:rsidP="00EE74A8">
            <w:pPr>
              <w:ind w:left="-50" w:right="-47"/>
              <w:rPr>
                <w:rFonts w:asciiTheme="majorBidi" w:hAnsiTheme="majorBidi" w:cstheme="majorBidi"/>
                <w:sz w:val="16"/>
                <w:szCs w:val="16"/>
              </w:rPr>
            </w:pPr>
            <w:r w:rsidRPr="00EE74A8">
              <w:rPr>
                <w:rFonts w:asciiTheme="majorBidi" w:hAnsiTheme="majorBidi" w:cstheme="majorBidi"/>
                <w:sz w:val="16"/>
                <w:szCs w:val="16"/>
              </w:rPr>
              <w:t>Sumatera Selatan</w:t>
            </w:r>
          </w:p>
        </w:tc>
        <w:tc>
          <w:tcPr>
            <w:tcW w:w="811"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1</w:t>
            </w:r>
          </w:p>
        </w:tc>
        <w:tc>
          <w:tcPr>
            <w:tcW w:w="877"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2</w:t>
            </w:r>
          </w:p>
        </w:tc>
        <w:tc>
          <w:tcPr>
            <w:tcW w:w="694"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2</w:t>
            </w:r>
          </w:p>
        </w:tc>
        <w:tc>
          <w:tcPr>
            <w:tcW w:w="422"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2</w:t>
            </w:r>
          </w:p>
        </w:tc>
        <w:tc>
          <w:tcPr>
            <w:tcW w:w="590"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w:t>
            </w:r>
          </w:p>
        </w:tc>
        <w:tc>
          <w:tcPr>
            <w:tcW w:w="438"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2</w:t>
            </w:r>
          </w:p>
        </w:tc>
      </w:tr>
      <w:tr w:rsidR="00EE74A8" w:rsidRPr="00EE74A8" w:rsidTr="00EE74A8">
        <w:tc>
          <w:tcPr>
            <w:tcW w:w="1167" w:type="pct"/>
            <w:tcBorders>
              <w:top w:val="single" w:sz="8" w:space="0" w:color="auto"/>
              <w:left w:val="single" w:sz="8" w:space="0" w:color="auto"/>
              <w:bottom w:val="single" w:sz="8" w:space="0" w:color="auto"/>
              <w:right w:val="single" w:sz="8" w:space="0" w:color="auto"/>
            </w:tcBorders>
            <w:shd w:val="clear" w:color="auto" w:fill="auto"/>
            <w:noWrap/>
          </w:tcPr>
          <w:p w:rsidR="00512245" w:rsidRPr="00EE74A8" w:rsidRDefault="00512245" w:rsidP="00EE74A8">
            <w:pPr>
              <w:ind w:left="-50" w:right="-47"/>
              <w:rPr>
                <w:rFonts w:asciiTheme="majorBidi" w:hAnsiTheme="majorBidi" w:cstheme="majorBidi"/>
                <w:sz w:val="16"/>
                <w:szCs w:val="16"/>
              </w:rPr>
            </w:pPr>
            <w:r w:rsidRPr="00EE74A8">
              <w:rPr>
                <w:rFonts w:asciiTheme="majorBidi" w:hAnsiTheme="majorBidi" w:cstheme="majorBidi"/>
                <w:sz w:val="16"/>
                <w:szCs w:val="16"/>
              </w:rPr>
              <w:t>Lampung</w:t>
            </w:r>
          </w:p>
        </w:tc>
        <w:tc>
          <w:tcPr>
            <w:tcW w:w="811"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2</w:t>
            </w:r>
          </w:p>
        </w:tc>
        <w:tc>
          <w:tcPr>
            <w:tcW w:w="877"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5</w:t>
            </w:r>
          </w:p>
        </w:tc>
        <w:tc>
          <w:tcPr>
            <w:tcW w:w="694"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6</w:t>
            </w:r>
          </w:p>
        </w:tc>
        <w:tc>
          <w:tcPr>
            <w:tcW w:w="422"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6</w:t>
            </w:r>
          </w:p>
        </w:tc>
        <w:tc>
          <w:tcPr>
            <w:tcW w:w="590"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w:t>
            </w:r>
          </w:p>
        </w:tc>
        <w:tc>
          <w:tcPr>
            <w:tcW w:w="438"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6</w:t>
            </w:r>
          </w:p>
        </w:tc>
      </w:tr>
      <w:tr w:rsidR="00EE74A8" w:rsidRPr="00EE74A8" w:rsidTr="00EE74A8">
        <w:tc>
          <w:tcPr>
            <w:tcW w:w="1167" w:type="pct"/>
            <w:tcBorders>
              <w:top w:val="single" w:sz="8" w:space="0" w:color="auto"/>
              <w:left w:val="single" w:sz="8" w:space="0" w:color="auto"/>
              <w:bottom w:val="single" w:sz="8" w:space="0" w:color="auto"/>
              <w:right w:val="single" w:sz="8" w:space="0" w:color="auto"/>
            </w:tcBorders>
            <w:shd w:val="clear" w:color="auto" w:fill="auto"/>
            <w:noWrap/>
          </w:tcPr>
          <w:p w:rsidR="00512245" w:rsidRPr="00EE74A8" w:rsidRDefault="00512245" w:rsidP="00EE74A8">
            <w:pPr>
              <w:ind w:left="-50" w:right="-47"/>
              <w:rPr>
                <w:rFonts w:asciiTheme="majorBidi" w:hAnsiTheme="majorBidi" w:cstheme="majorBidi"/>
                <w:sz w:val="16"/>
                <w:szCs w:val="16"/>
              </w:rPr>
            </w:pPr>
            <w:r w:rsidRPr="00EE74A8">
              <w:rPr>
                <w:rFonts w:asciiTheme="majorBidi" w:hAnsiTheme="majorBidi" w:cstheme="majorBidi"/>
                <w:sz w:val="16"/>
                <w:szCs w:val="16"/>
              </w:rPr>
              <w:t>Sulawesi Selatan</w:t>
            </w:r>
          </w:p>
        </w:tc>
        <w:tc>
          <w:tcPr>
            <w:tcW w:w="811"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2</w:t>
            </w:r>
          </w:p>
        </w:tc>
        <w:tc>
          <w:tcPr>
            <w:tcW w:w="877"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3</w:t>
            </w:r>
          </w:p>
        </w:tc>
        <w:tc>
          <w:tcPr>
            <w:tcW w:w="694"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4</w:t>
            </w:r>
          </w:p>
        </w:tc>
        <w:tc>
          <w:tcPr>
            <w:tcW w:w="422"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8</w:t>
            </w:r>
          </w:p>
        </w:tc>
        <w:tc>
          <w:tcPr>
            <w:tcW w:w="590"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w:t>
            </w:r>
          </w:p>
        </w:tc>
        <w:tc>
          <w:tcPr>
            <w:tcW w:w="438"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8</w:t>
            </w:r>
          </w:p>
        </w:tc>
      </w:tr>
      <w:tr w:rsidR="00EE74A8" w:rsidRPr="00EE74A8" w:rsidTr="00EE74A8">
        <w:tc>
          <w:tcPr>
            <w:tcW w:w="1167" w:type="pct"/>
            <w:tcBorders>
              <w:top w:val="single" w:sz="8" w:space="0" w:color="auto"/>
              <w:left w:val="single" w:sz="8" w:space="0" w:color="auto"/>
              <w:bottom w:val="single" w:sz="8" w:space="0" w:color="auto"/>
              <w:right w:val="single" w:sz="8" w:space="0" w:color="auto"/>
            </w:tcBorders>
            <w:shd w:val="clear" w:color="auto" w:fill="auto"/>
            <w:noWrap/>
            <w:vAlign w:val="center"/>
          </w:tcPr>
          <w:p w:rsidR="00512245" w:rsidRPr="00EE74A8" w:rsidRDefault="00512245" w:rsidP="00EE74A8">
            <w:pPr>
              <w:ind w:left="-50" w:right="-47"/>
              <w:rPr>
                <w:rFonts w:asciiTheme="majorBidi" w:hAnsiTheme="majorBidi" w:cstheme="majorBidi"/>
                <w:sz w:val="16"/>
                <w:szCs w:val="16"/>
              </w:rPr>
            </w:pPr>
            <w:r w:rsidRPr="00EE74A8">
              <w:rPr>
                <w:rFonts w:asciiTheme="majorBidi" w:hAnsiTheme="majorBidi" w:cstheme="majorBidi"/>
                <w:sz w:val="16"/>
                <w:szCs w:val="16"/>
              </w:rPr>
              <w:t>Sulawesi Tenggara</w:t>
            </w:r>
          </w:p>
        </w:tc>
        <w:tc>
          <w:tcPr>
            <w:tcW w:w="811"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2</w:t>
            </w:r>
          </w:p>
        </w:tc>
        <w:tc>
          <w:tcPr>
            <w:tcW w:w="877"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2</w:t>
            </w:r>
          </w:p>
        </w:tc>
        <w:tc>
          <w:tcPr>
            <w:tcW w:w="694"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2</w:t>
            </w:r>
          </w:p>
        </w:tc>
        <w:tc>
          <w:tcPr>
            <w:tcW w:w="422"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2</w:t>
            </w:r>
          </w:p>
        </w:tc>
        <w:tc>
          <w:tcPr>
            <w:tcW w:w="590"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w:t>
            </w:r>
          </w:p>
        </w:tc>
        <w:tc>
          <w:tcPr>
            <w:tcW w:w="438"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2</w:t>
            </w:r>
          </w:p>
        </w:tc>
      </w:tr>
      <w:tr w:rsidR="00EE74A8" w:rsidRPr="00EE74A8" w:rsidTr="00EE74A8">
        <w:tc>
          <w:tcPr>
            <w:tcW w:w="1167" w:type="pct"/>
            <w:tcBorders>
              <w:top w:val="single" w:sz="8" w:space="0" w:color="auto"/>
              <w:left w:val="single" w:sz="8" w:space="0" w:color="auto"/>
              <w:bottom w:val="single" w:sz="8" w:space="0" w:color="auto"/>
              <w:right w:val="single" w:sz="8" w:space="0" w:color="auto"/>
            </w:tcBorders>
            <w:shd w:val="clear" w:color="auto" w:fill="auto"/>
            <w:noWrap/>
          </w:tcPr>
          <w:p w:rsidR="00512245" w:rsidRPr="00EE74A8" w:rsidRDefault="00512245" w:rsidP="00EE74A8">
            <w:pPr>
              <w:ind w:left="-50" w:right="-47"/>
              <w:rPr>
                <w:rFonts w:asciiTheme="majorBidi" w:hAnsiTheme="majorBidi" w:cstheme="majorBidi"/>
                <w:sz w:val="16"/>
                <w:szCs w:val="16"/>
              </w:rPr>
            </w:pPr>
            <w:r w:rsidRPr="00EE74A8">
              <w:rPr>
                <w:rFonts w:asciiTheme="majorBidi" w:hAnsiTheme="majorBidi" w:cstheme="majorBidi"/>
                <w:sz w:val="16"/>
                <w:szCs w:val="16"/>
              </w:rPr>
              <w:t>Sulawesi Barat</w:t>
            </w:r>
          </w:p>
        </w:tc>
        <w:tc>
          <w:tcPr>
            <w:tcW w:w="811"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1</w:t>
            </w:r>
          </w:p>
        </w:tc>
        <w:tc>
          <w:tcPr>
            <w:tcW w:w="877"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1</w:t>
            </w:r>
          </w:p>
        </w:tc>
        <w:tc>
          <w:tcPr>
            <w:tcW w:w="694"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1</w:t>
            </w:r>
          </w:p>
        </w:tc>
        <w:tc>
          <w:tcPr>
            <w:tcW w:w="422"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1</w:t>
            </w:r>
          </w:p>
        </w:tc>
        <w:tc>
          <w:tcPr>
            <w:tcW w:w="590"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w:t>
            </w:r>
          </w:p>
        </w:tc>
        <w:tc>
          <w:tcPr>
            <w:tcW w:w="438"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1</w:t>
            </w:r>
          </w:p>
        </w:tc>
      </w:tr>
      <w:tr w:rsidR="00EE74A8" w:rsidRPr="00EE74A8" w:rsidTr="00EE74A8">
        <w:tc>
          <w:tcPr>
            <w:tcW w:w="1167" w:type="pct"/>
            <w:tcBorders>
              <w:top w:val="single" w:sz="8" w:space="0" w:color="auto"/>
              <w:left w:val="single" w:sz="8" w:space="0" w:color="auto"/>
              <w:bottom w:val="single" w:sz="8" w:space="0" w:color="auto"/>
              <w:right w:val="single" w:sz="8" w:space="0" w:color="auto"/>
            </w:tcBorders>
            <w:shd w:val="clear" w:color="auto" w:fill="auto"/>
            <w:noWrap/>
          </w:tcPr>
          <w:p w:rsidR="00512245" w:rsidRPr="00EE74A8" w:rsidRDefault="00512245" w:rsidP="00EE74A8">
            <w:pPr>
              <w:ind w:left="-50" w:right="-47"/>
              <w:rPr>
                <w:rFonts w:asciiTheme="majorBidi" w:hAnsiTheme="majorBidi" w:cstheme="majorBidi"/>
                <w:sz w:val="16"/>
                <w:szCs w:val="16"/>
              </w:rPr>
            </w:pPr>
            <w:r w:rsidRPr="00EE74A8">
              <w:rPr>
                <w:rFonts w:asciiTheme="majorBidi" w:hAnsiTheme="majorBidi" w:cstheme="majorBidi"/>
                <w:sz w:val="16"/>
                <w:szCs w:val="16"/>
              </w:rPr>
              <w:t>Nusa Tenggara Barat</w:t>
            </w:r>
          </w:p>
        </w:tc>
        <w:tc>
          <w:tcPr>
            <w:tcW w:w="811"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5</w:t>
            </w:r>
          </w:p>
        </w:tc>
        <w:tc>
          <w:tcPr>
            <w:tcW w:w="877"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10</w:t>
            </w:r>
          </w:p>
        </w:tc>
        <w:tc>
          <w:tcPr>
            <w:tcW w:w="694"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15</w:t>
            </w:r>
          </w:p>
        </w:tc>
        <w:tc>
          <w:tcPr>
            <w:tcW w:w="422"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16</w:t>
            </w:r>
          </w:p>
        </w:tc>
        <w:tc>
          <w:tcPr>
            <w:tcW w:w="590"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w:t>
            </w:r>
          </w:p>
        </w:tc>
        <w:tc>
          <w:tcPr>
            <w:tcW w:w="438"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16</w:t>
            </w:r>
          </w:p>
        </w:tc>
      </w:tr>
      <w:tr w:rsidR="00EE74A8" w:rsidRPr="00EE74A8" w:rsidTr="00EE74A8">
        <w:tc>
          <w:tcPr>
            <w:tcW w:w="1167" w:type="pct"/>
            <w:tcBorders>
              <w:top w:val="single" w:sz="8" w:space="0" w:color="auto"/>
              <w:left w:val="single" w:sz="8" w:space="0" w:color="auto"/>
              <w:bottom w:val="single" w:sz="8" w:space="0" w:color="auto"/>
              <w:right w:val="single" w:sz="8" w:space="0" w:color="auto"/>
            </w:tcBorders>
            <w:shd w:val="clear" w:color="auto" w:fill="auto"/>
            <w:noWrap/>
          </w:tcPr>
          <w:p w:rsidR="00512245" w:rsidRPr="00EE74A8" w:rsidRDefault="00512245" w:rsidP="00EE74A8">
            <w:pPr>
              <w:ind w:left="-50" w:right="-47"/>
              <w:rPr>
                <w:rFonts w:asciiTheme="majorBidi" w:hAnsiTheme="majorBidi" w:cstheme="majorBidi"/>
                <w:sz w:val="16"/>
                <w:szCs w:val="16"/>
              </w:rPr>
            </w:pPr>
            <w:r w:rsidRPr="00EE74A8">
              <w:rPr>
                <w:rFonts w:asciiTheme="majorBidi" w:hAnsiTheme="majorBidi" w:cstheme="majorBidi"/>
                <w:sz w:val="16"/>
                <w:szCs w:val="16"/>
              </w:rPr>
              <w:t>Papua Barat</w:t>
            </w:r>
          </w:p>
        </w:tc>
        <w:tc>
          <w:tcPr>
            <w:tcW w:w="811"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2</w:t>
            </w:r>
          </w:p>
        </w:tc>
        <w:tc>
          <w:tcPr>
            <w:tcW w:w="877"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2</w:t>
            </w:r>
          </w:p>
        </w:tc>
        <w:tc>
          <w:tcPr>
            <w:tcW w:w="694"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2</w:t>
            </w:r>
          </w:p>
        </w:tc>
        <w:tc>
          <w:tcPr>
            <w:tcW w:w="422"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2</w:t>
            </w:r>
          </w:p>
        </w:tc>
        <w:tc>
          <w:tcPr>
            <w:tcW w:w="590"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w:t>
            </w:r>
          </w:p>
        </w:tc>
        <w:tc>
          <w:tcPr>
            <w:tcW w:w="438"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2</w:t>
            </w:r>
          </w:p>
        </w:tc>
      </w:tr>
      <w:tr w:rsidR="00EE74A8" w:rsidRPr="00EE74A8" w:rsidTr="00EE74A8">
        <w:tc>
          <w:tcPr>
            <w:tcW w:w="1167" w:type="pct"/>
            <w:tcBorders>
              <w:top w:val="single" w:sz="8" w:space="0" w:color="auto"/>
              <w:left w:val="single" w:sz="8" w:space="0" w:color="auto"/>
              <w:bottom w:val="single" w:sz="8" w:space="0" w:color="auto"/>
              <w:right w:val="single" w:sz="8" w:space="0" w:color="auto"/>
            </w:tcBorders>
            <w:shd w:val="clear" w:color="auto" w:fill="auto"/>
            <w:noWrap/>
          </w:tcPr>
          <w:p w:rsidR="00512245" w:rsidRPr="00EE74A8" w:rsidRDefault="00512245" w:rsidP="00EE74A8">
            <w:pPr>
              <w:ind w:left="-50" w:right="-47"/>
              <w:rPr>
                <w:rFonts w:asciiTheme="majorBidi" w:hAnsiTheme="majorBidi" w:cstheme="majorBidi"/>
                <w:sz w:val="16"/>
                <w:szCs w:val="16"/>
              </w:rPr>
            </w:pPr>
            <w:r w:rsidRPr="00EE74A8">
              <w:rPr>
                <w:rFonts w:asciiTheme="majorBidi" w:hAnsiTheme="majorBidi" w:cstheme="majorBidi"/>
                <w:sz w:val="16"/>
                <w:szCs w:val="16"/>
              </w:rPr>
              <w:t>Maluku Utara</w:t>
            </w:r>
          </w:p>
        </w:tc>
        <w:tc>
          <w:tcPr>
            <w:tcW w:w="811"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3</w:t>
            </w:r>
          </w:p>
        </w:tc>
        <w:tc>
          <w:tcPr>
            <w:tcW w:w="877"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3</w:t>
            </w:r>
          </w:p>
        </w:tc>
        <w:tc>
          <w:tcPr>
            <w:tcW w:w="694"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4</w:t>
            </w:r>
          </w:p>
        </w:tc>
        <w:tc>
          <w:tcPr>
            <w:tcW w:w="422"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4</w:t>
            </w:r>
          </w:p>
        </w:tc>
        <w:tc>
          <w:tcPr>
            <w:tcW w:w="590"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w:t>
            </w:r>
          </w:p>
        </w:tc>
        <w:tc>
          <w:tcPr>
            <w:tcW w:w="438"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4</w:t>
            </w:r>
          </w:p>
        </w:tc>
      </w:tr>
      <w:tr w:rsidR="00EE74A8" w:rsidRPr="00EE74A8" w:rsidTr="00EE74A8">
        <w:tc>
          <w:tcPr>
            <w:tcW w:w="1167" w:type="pct"/>
            <w:tcBorders>
              <w:top w:val="single" w:sz="8" w:space="0" w:color="auto"/>
              <w:left w:val="single" w:sz="8" w:space="0" w:color="auto"/>
              <w:bottom w:val="single" w:sz="8" w:space="0" w:color="auto"/>
              <w:right w:val="single" w:sz="8" w:space="0" w:color="auto"/>
            </w:tcBorders>
            <w:shd w:val="clear" w:color="auto" w:fill="auto"/>
            <w:noWrap/>
          </w:tcPr>
          <w:p w:rsidR="00512245" w:rsidRPr="00EE74A8" w:rsidRDefault="00512245" w:rsidP="00EE74A8">
            <w:pPr>
              <w:ind w:left="-50" w:right="-47"/>
              <w:rPr>
                <w:rFonts w:asciiTheme="majorBidi" w:hAnsiTheme="majorBidi" w:cstheme="majorBidi"/>
                <w:sz w:val="16"/>
                <w:szCs w:val="16"/>
              </w:rPr>
            </w:pPr>
            <w:r w:rsidRPr="00EE74A8">
              <w:rPr>
                <w:rFonts w:asciiTheme="majorBidi" w:hAnsiTheme="majorBidi" w:cstheme="majorBidi"/>
                <w:sz w:val="16"/>
                <w:szCs w:val="16"/>
              </w:rPr>
              <w:t>Nusa Tenggara Timur</w:t>
            </w:r>
          </w:p>
        </w:tc>
        <w:tc>
          <w:tcPr>
            <w:tcW w:w="811"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1</w:t>
            </w:r>
          </w:p>
        </w:tc>
        <w:tc>
          <w:tcPr>
            <w:tcW w:w="877"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1</w:t>
            </w:r>
          </w:p>
        </w:tc>
        <w:tc>
          <w:tcPr>
            <w:tcW w:w="694"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1</w:t>
            </w:r>
          </w:p>
        </w:tc>
        <w:tc>
          <w:tcPr>
            <w:tcW w:w="422"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1</w:t>
            </w:r>
          </w:p>
        </w:tc>
        <w:tc>
          <w:tcPr>
            <w:tcW w:w="590"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w:t>
            </w:r>
          </w:p>
        </w:tc>
        <w:tc>
          <w:tcPr>
            <w:tcW w:w="438"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1</w:t>
            </w:r>
          </w:p>
        </w:tc>
      </w:tr>
      <w:tr w:rsidR="00EE74A8" w:rsidRPr="00EE74A8" w:rsidTr="00EE74A8">
        <w:tc>
          <w:tcPr>
            <w:tcW w:w="1167" w:type="pct"/>
            <w:tcBorders>
              <w:top w:val="single" w:sz="8" w:space="0" w:color="auto"/>
              <w:left w:val="single" w:sz="8" w:space="0" w:color="auto"/>
              <w:bottom w:val="single" w:sz="8" w:space="0" w:color="auto"/>
              <w:right w:val="single" w:sz="8" w:space="0" w:color="auto"/>
            </w:tcBorders>
            <w:shd w:val="clear" w:color="auto" w:fill="auto"/>
            <w:noWrap/>
          </w:tcPr>
          <w:p w:rsidR="00512245" w:rsidRPr="00EE74A8" w:rsidRDefault="00512245" w:rsidP="00EE74A8">
            <w:pPr>
              <w:ind w:left="-50" w:right="-47"/>
              <w:rPr>
                <w:rFonts w:asciiTheme="majorBidi" w:hAnsiTheme="majorBidi" w:cstheme="majorBidi"/>
                <w:sz w:val="16"/>
                <w:szCs w:val="16"/>
              </w:rPr>
            </w:pPr>
            <w:r w:rsidRPr="00EE74A8">
              <w:rPr>
                <w:rFonts w:asciiTheme="majorBidi" w:hAnsiTheme="majorBidi" w:cstheme="majorBidi"/>
                <w:sz w:val="16"/>
                <w:szCs w:val="16"/>
              </w:rPr>
              <w:t>Bali</w:t>
            </w:r>
          </w:p>
        </w:tc>
        <w:tc>
          <w:tcPr>
            <w:tcW w:w="811"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1</w:t>
            </w:r>
          </w:p>
        </w:tc>
        <w:tc>
          <w:tcPr>
            <w:tcW w:w="877"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1</w:t>
            </w:r>
          </w:p>
        </w:tc>
        <w:tc>
          <w:tcPr>
            <w:tcW w:w="694"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1</w:t>
            </w:r>
          </w:p>
        </w:tc>
        <w:tc>
          <w:tcPr>
            <w:tcW w:w="422"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1</w:t>
            </w:r>
          </w:p>
        </w:tc>
        <w:tc>
          <w:tcPr>
            <w:tcW w:w="590"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w:t>
            </w:r>
          </w:p>
        </w:tc>
        <w:tc>
          <w:tcPr>
            <w:tcW w:w="438"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1</w:t>
            </w:r>
          </w:p>
        </w:tc>
      </w:tr>
      <w:tr w:rsidR="00EE74A8" w:rsidRPr="00EE74A8" w:rsidTr="00EE74A8">
        <w:tc>
          <w:tcPr>
            <w:tcW w:w="1167" w:type="pct"/>
            <w:tcBorders>
              <w:top w:val="single" w:sz="8" w:space="0" w:color="auto"/>
              <w:left w:val="single" w:sz="8" w:space="0" w:color="auto"/>
              <w:bottom w:val="single" w:sz="8" w:space="0" w:color="auto"/>
              <w:right w:val="single" w:sz="8" w:space="0" w:color="auto"/>
            </w:tcBorders>
            <w:shd w:val="clear" w:color="auto" w:fill="auto"/>
            <w:noWrap/>
          </w:tcPr>
          <w:p w:rsidR="00512245" w:rsidRPr="00EE74A8" w:rsidRDefault="00512245" w:rsidP="00EE74A8">
            <w:pPr>
              <w:ind w:left="-50" w:right="-47"/>
              <w:rPr>
                <w:rFonts w:asciiTheme="majorBidi" w:hAnsiTheme="majorBidi" w:cstheme="majorBidi"/>
                <w:sz w:val="16"/>
                <w:szCs w:val="16"/>
              </w:rPr>
            </w:pPr>
            <w:r w:rsidRPr="00EE74A8">
              <w:rPr>
                <w:rFonts w:asciiTheme="majorBidi" w:hAnsiTheme="majorBidi" w:cstheme="majorBidi"/>
                <w:sz w:val="16"/>
                <w:szCs w:val="16"/>
              </w:rPr>
              <w:t>Kosong</w:t>
            </w:r>
          </w:p>
        </w:tc>
        <w:tc>
          <w:tcPr>
            <w:tcW w:w="811"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w:t>
            </w:r>
          </w:p>
        </w:tc>
        <w:tc>
          <w:tcPr>
            <w:tcW w:w="877"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w:t>
            </w:r>
          </w:p>
        </w:tc>
        <w:tc>
          <w:tcPr>
            <w:tcW w:w="694"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w:t>
            </w:r>
          </w:p>
        </w:tc>
        <w:tc>
          <w:tcPr>
            <w:tcW w:w="422"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12</w:t>
            </w:r>
          </w:p>
        </w:tc>
        <w:tc>
          <w:tcPr>
            <w:tcW w:w="590"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w:t>
            </w:r>
          </w:p>
        </w:tc>
        <w:tc>
          <w:tcPr>
            <w:tcW w:w="438"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12</w:t>
            </w:r>
          </w:p>
        </w:tc>
      </w:tr>
      <w:tr w:rsidR="00EE74A8" w:rsidRPr="00EE74A8" w:rsidTr="00EE74A8">
        <w:tc>
          <w:tcPr>
            <w:tcW w:w="1167" w:type="pct"/>
            <w:tcBorders>
              <w:top w:val="single" w:sz="8" w:space="0" w:color="auto"/>
              <w:left w:val="single" w:sz="8" w:space="0" w:color="auto"/>
              <w:bottom w:val="single" w:sz="8" w:space="0" w:color="auto"/>
              <w:right w:val="single" w:sz="8" w:space="0" w:color="auto"/>
            </w:tcBorders>
            <w:shd w:val="clear" w:color="auto" w:fill="auto"/>
            <w:noWrap/>
            <w:vAlign w:val="center"/>
          </w:tcPr>
          <w:p w:rsidR="00512245" w:rsidRPr="00EE74A8" w:rsidRDefault="00512245" w:rsidP="00EE74A8">
            <w:pPr>
              <w:ind w:left="-50" w:right="-47"/>
              <w:rPr>
                <w:rFonts w:asciiTheme="majorBidi" w:hAnsiTheme="majorBidi" w:cstheme="majorBidi"/>
                <w:sz w:val="16"/>
                <w:szCs w:val="16"/>
              </w:rPr>
            </w:pPr>
            <w:r w:rsidRPr="00EE74A8">
              <w:rPr>
                <w:rFonts w:asciiTheme="majorBidi" w:hAnsiTheme="majorBidi" w:cstheme="majorBidi"/>
                <w:sz w:val="16"/>
                <w:szCs w:val="16"/>
              </w:rPr>
              <w:t>22/34  (64,7%)</w:t>
            </w:r>
          </w:p>
        </w:tc>
        <w:tc>
          <w:tcPr>
            <w:tcW w:w="811"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91/514 (17,7%)</w:t>
            </w:r>
          </w:p>
        </w:tc>
        <w:tc>
          <w:tcPr>
            <w:tcW w:w="877"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240/7.201 (3,33%)</w:t>
            </w:r>
          </w:p>
        </w:tc>
        <w:tc>
          <w:tcPr>
            <w:tcW w:w="694"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366/83.447 (0,44%)</w:t>
            </w:r>
          </w:p>
        </w:tc>
        <w:tc>
          <w:tcPr>
            <w:tcW w:w="422"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p>
        </w:tc>
        <w:tc>
          <w:tcPr>
            <w:tcW w:w="590"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p>
        </w:tc>
        <w:tc>
          <w:tcPr>
            <w:tcW w:w="438" w:type="pct"/>
            <w:tcBorders>
              <w:top w:val="single" w:sz="8" w:space="0" w:color="auto"/>
              <w:left w:val="single" w:sz="8" w:space="0" w:color="auto"/>
              <w:bottom w:val="single" w:sz="8" w:space="0" w:color="auto"/>
              <w:right w:val="single" w:sz="8" w:space="0" w:color="auto"/>
            </w:tcBorders>
            <w:shd w:val="clear" w:color="auto" w:fill="auto"/>
            <w:vAlign w:val="center"/>
          </w:tcPr>
          <w:p w:rsidR="00512245" w:rsidRPr="00EE74A8" w:rsidRDefault="00512245" w:rsidP="00EE74A8">
            <w:pPr>
              <w:ind w:left="-116" w:right="-117"/>
              <w:jc w:val="center"/>
              <w:rPr>
                <w:rFonts w:asciiTheme="majorBidi" w:hAnsiTheme="majorBidi" w:cstheme="majorBidi"/>
                <w:sz w:val="16"/>
                <w:szCs w:val="16"/>
              </w:rPr>
            </w:pPr>
          </w:p>
        </w:tc>
      </w:tr>
      <w:tr w:rsidR="00EE74A8" w:rsidRPr="00EE74A8" w:rsidTr="00EE74A8">
        <w:tc>
          <w:tcPr>
            <w:tcW w:w="1167" w:type="pct"/>
            <w:tcBorders>
              <w:top w:val="single" w:sz="8" w:space="0" w:color="auto"/>
              <w:left w:val="single" w:sz="8" w:space="0" w:color="auto"/>
              <w:bottom w:val="single" w:sz="8" w:space="0" w:color="auto"/>
              <w:right w:val="single" w:sz="8" w:space="0" w:color="auto"/>
            </w:tcBorders>
            <w:shd w:val="clear" w:color="auto" w:fill="FFFFFF"/>
            <w:noWrap/>
          </w:tcPr>
          <w:p w:rsidR="00512245" w:rsidRPr="00EE74A8" w:rsidRDefault="00512245" w:rsidP="00EE74A8">
            <w:pPr>
              <w:ind w:left="-50" w:right="-47"/>
              <w:rPr>
                <w:rFonts w:asciiTheme="majorBidi" w:hAnsiTheme="majorBidi" w:cstheme="majorBidi"/>
                <w:sz w:val="16"/>
                <w:szCs w:val="16"/>
              </w:rPr>
            </w:pPr>
            <w:r w:rsidRPr="00EE74A8">
              <w:rPr>
                <w:rFonts w:asciiTheme="majorBidi" w:hAnsiTheme="majorBidi" w:cstheme="majorBidi"/>
                <w:sz w:val="16"/>
                <w:szCs w:val="16"/>
              </w:rPr>
              <w:t>Total</w:t>
            </w:r>
          </w:p>
        </w:tc>
        <w:tc>
          <w:tcPr>
            <w:tcW w:w="811" w:type="pct"/>
            <w:tcBorders>
              <w:top w:val="single" w:sz="8" w:space="0" w:color="auto"/>
              <w:left w:val="single" w:sz="8" w:space="0" w:color="auto"/>
              <w:bottom w:val="single" w:sz="8" w:space="0" w:color="auto"/>
              <w:right w:val="single" w:sz="8" w:space="0" w:color="auto"/>
            </w:tcBorders>
            <w:shd w:val="clear" w:color="auto" w:fill="FFFFFF"/>
            <w:vAlign w:val="center"/>
          </w:tcPr>
          <w:p w:rsidR="00512245" w:rsidRPr="00EE74A8" w:rsidRDefault="00512245" w:rsidP="00EE74A8">
            <w:pPr>
              <w:ind w:left="-116" w:right="-117"/>
              <w:jc w:val="center"/>
              <w:rPr>
                <w:rFonts w:asciiTheme="majorBidi" w:hAnsiTheme="majorBidi" w:cstheme="majorBidi"/>
                <w:sz w:val="16"/>
                <w:szCs w:val="16"/>
              </w:rPr>
            </w:pPr>
          </w:p>
        </w:tc>
        <w:tc>
          <w:tcPr>
            <w:tcW w:w="877" w:type="pct"/>
            <w:tcBorders>
              <w:top w:val="single" w:sz="8" w:space="0" w:color="auto"/>
              <w:left w:val="single" w:sz="8" w:space="0" w:color="auto"/>
              <w:bottom w:val="single" w:sz="8" w:space="0" w:color="auto"/>
              <w:right w:val="single" w:sz="8" w:space="0" w:color="auto"/>
            </w:tcBorders>
            <w:shd w:val="clear" w:color="auto" w:fill="FFFFFF"/>
            <w:vAlign w:val="center"/>
          </w:tcPr>
          <w:p w:rsidR="00512245" w:rsidRPr="00EE74A8" w:rsidRDefault="00512245" w:rsidP="00EE74A8">
            <w:pPr>
              <w:ind w:left="-116" w:right="-117"/>
              <w:jc w:val="center"/>
              <w:rPr>
                <w:rFonts w:asciiTheme="majorBidi" w:hAnsiTheme="majorBidi" w:cstheme="majorBidi"/>
                <w:sz w:val="16"/>
                <w:szCs w:val="16"/>
              </w:rPr>
            </w:pPr>
          </w:p>
        </w:tc>
        <w:tc>
          <w:tcPr>
            <w:tcW w:w="694" w:type="pct"/>
            <w:tcBorders>
              <w:top w:val="single" w:sz="8" w:space="0" w:color="auto"/>
              <w:left w:val="single" w:sz="8" w:space="0" w:color="auto"/>
              <w:bottom w:val="single" w:sz="8" w:space="0" w:color="auto"/>
              <w:right w:val="single" w:sz="8" w:space="0" w:color="auto"/>
            </w:tcBorders>
            <w:shd w:val="clear" w:color="auto" w:fill="FFFFFF"/>
            <w:vAlign w:val="center"/>
          </w:tcPr>
          <w:p w:rsidR="00512245" w:rsidRPr="00EE74A8" w:rsidRDefault="00512245" w:rsidP="00EE74A8">
            <w:pPr>
              <w:ind w:left="-116" w:right="-117"/>
              <w:jc w:val="center"/>
              <w:rPr>
                <w:rFonts w:asciiTheme="majorBidi" w:hAnsiTheme="majorBidi" w:cstheme="majorBidi"/>
                <w:sz w:val="16"/>
                <w:szCs w:val="16"/>
              </w:rPr>
            </w:pPr>
          </w:p>
        </w:tc>
        <w:tc>
          <w:tcPr>
            <w:tcW w:w="422" w:type="pct"/>
            <w:tcBorders>
              <w:top w:val="single" w:sz="8" w:space="0" w:color="auto"/>
              <w:left w:val="single" w:sz="8" w:space="0" w:color="auto"/>
              <w:bottom w:val="single" w:sz="8" w:space="0" w:color="auto"/>
              <w:right w:val="single" w:sz="8" w:space="0" w:color="auto"/>
            </w:tcBorders>
            <w:shd w:val="clear" w:color="auto" w:fill="FFFFFF"/>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420</w:t>
            </w:r>
          </w:p>
        </w:tc>
        <w:tc>
          <w:tcPr>
            <w:tcW w:w="590" w:type="pct"/>
            <w:tcBorders>
              <w:top w:val="single" w:sz="8" w:space="0" w:color="auto"/>
              <w:left w:val="single" w:sz="8" w:space="0" w:color="auto"/>
              <w:bottom w:val="single" w:sz="8" w:space="0" w:color="auto"/>
              <w:right w:val="single" w:sz="8" w:space="0" w:color="auto"/>
            </w:tcBorders>
            <w:shd w:val="clear" w:color="auto" w:fill="FFFFFF"/>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154</w:t>
            </w:r>
          </w:p>
        </w:tc>
        <w:tc>
          <w:tcPr>
            <w:tcW w:w="438" w:type="pct"/>
            <w:tcBorders>
              <w:top w:val="single" w:sz="8" w:space="0" w:color="auto"/>
              <w:left w:val="single" w:sz="8" w:space="0" w:color="auto"/>
              <w:bottom w:val="single" w:sz="8" w:space="0" w:color="auto"/>
              <w:right w:val="single" w:sz="8" w:space="0" w:color="auto"/>
            </w:tcBorders>
            <w:shd w:val="clear" w:color="auto" w:fill="FFFFFF"/>
            <w:vAlign w:val="center"/>
          </w:tcPr>
          <w:p w:rsidR="00512245" w:rsidRPr="00EE74A8" w:rsidRDefault="00512245" w:rsidP="00EE74A8">
            <w:pPr>
              <w:ind w:left="-116" w:right="-117"/>
              <w:jc w:val="center"/>
              <w:rPr>
                <w:rFonts w:asciiTheme="majorBidi" w:hAnsiTheme="majorBidi" w:cstheme="majorBidi"/>
                <w:sz w:val="16"/>
                <w:szCs w:val="16"/>
              </w:rPr>
            </w:pPr>
            <w:r w:rsidRPr="00EE74A8">
              <w:rPr>
                <w:rFonts w:asciiTheme="majorBidi" w:hAnsiTheme="majorBidi" w:cstheme="majorBidi"/>
                <w:sz w:val="16"/>
                <w:szCs w:val="16"/>
              </w:rPr>
              <w:t>574</w:t>
            </w:r>
          </w:p>
        </w:tc>
      </w:tr>
    </w:tbl>
    <w:p w:rsidR="003840E7" w:rsidRDefault="003840E7" w:rsidP="00512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sz w:val="18"/>
          <w:szCs w:val="18"/>
        </w:rPr>
      </w:pPr>
    </w:p>
    <w:p w:rsidR="003840E7" w:rsidRPr="00C66EAE" w:rsidRDefault="00FA5238" w:rsidP="003840E7">
      <w:pPr>
        <w:widowControl/>
        <w:rPr>
          <w:rFonts w:eastAsia="Times New Roman"/>
          <w:snapToGrid/>
          <w:sz w:val="18"/>
          <w:szCs w:val="18"/>
          <w:lang w:val="en"/>
        </w:rPr>
      </w:pPr>
      <w:r w:rsidRPr="00C66EAE">
        <w:rPr>
          <w:rFonts w:eastAsia="Times New Roman"/>
          <w:b/>
          <w:snapToGrid/>
          <w:sz w:val="18"/>
          <w:szCs w:val="18"/>
          <w:lang w:val="en"/>
        </w:rPr>
        <w:t>2</w:t>
      </w:r>
      <w:r w:rsidR="003840E7" w:rsidRPr="00C66EAE">
        <w:rPr>
          <w:rFonts w:eastAsia="Times New Roman"/>
          <w:b/>
          <w:snapToGrid/>
          <w:sz w:val="18"/>
          <w:szCs w:val="18"/>
          <w:lang w:val="en"/>
        </w:rPr>
        <w:t>.</w:t>
      </w:r>
      <w:r w:rsidRPr="00C66EAE">
        <w:rPr>
          <w:rFonts w:eastAsia="Times New Roman"/>
          <w:b/>
          <w:snapToGrid/>
          <w:sz w:val="18"/>
          <w:szCs w:val="18"/>
          <w:lang w:val="en"/>
        </w:rPr>
        <w:t>5</w:t>
      </w:r>
      <w:r w:rsidR="003840E7" w:rsidRPr="00C66EAE">
        <w:rPr>
          <w:rFonts w:eastAsia="Times New Roman"/>
          <w:b/>
          <w:snapToGrid/>
          <w:sz w:val="18"/>
          <w:szCs w:val="18"/>
          <w:lang w:val="en"/>
        </w:rPr>
        <w:t xml:space="preserve"> Secondary Data Collection in Sumedang</w:t>
      </w:r>
      <w:r w:rsidR="003840E7" w:rsidRPr="00C66EAE">
        <w:rPr>
          <w:rFonts w:eastAsia="Times New Roman"/>
          <w:b/>
          <w:snapToGrid/>
          <w:sz w:val="18"/>
          <w:szCs w:val="18"/>
          <w:lang w:val="en"/>
        </w:rPr>
        <w:br/>
      </w:r>
      <w:r w:rsidRPr="00C66EAE">
        <w:rPr>
          <w:rFonts w:eastAsia="Times New Roman"/>
          <w:b/>
          <w:snapToGrid/>
          <w:sz w:val="18"/>
          <w:szCs w:val="18"/>
          <w:lang w:val="en"/>
        </w:rPr>
        <w:t>2</w:t>
      </w:r>
      <w:r w:rsidR="003840E7" w:rsidRPr="00C66EAE">
        <w:rPr>
          <w:rFonts w:eastAsia="Times New Roman"/>
          <w:b/>
          <w:snapToGrid/>
          <w:sz w:val="18"/>
          <w:szCs w:val="18"/>
          <w:lang w:val="en"/>
        </w:rPr>
        <w:t>.</w:t>
      </w:r>
      <w:r w:rsidRPr="00C66EAE">
        <w:rPr>
          <w:rFonts w:eastAsia="Times New Roman"/>
          <w:b/>
          <w:snapToGrid/>
          <w:sz w:val="18"/>
          <w:szCs w:val="18"/>
          <w:lang w:val="en"/>
        </w:rPr>
        <w:t>5</w:t>
      </w:r>
      <w:r w:rsidR="003840E7" w:rsidRPr="00C66EAE">
        <w:rPr>
          <w:rFonts w:eastAsia="Times New Roman"/>
          <w:b/>
          <w:snapToGrid/>
          <w:sz w:val="18"/>
          <w:szCs w:val="18"/>
          <w:lang w:val="en"/>
        </w:rPr>
        <w:t xml:space="preserve">.1 </w:t>
      </w:r>
      <w:r w:rsidRPr="00C66EAE">
        <w:rPr>
          <w:rFonts w:eastAsia="Times New Roman"/>
          <w:b/>
          <w:snapToGrid/>
          <w:sz w:val="18"/>
          <w:szCs w:val="18"/>
          <w:lang w:val="en"/>
        </w:rPr>
        <w:t>Tofu</w:t>
      </w:r>
      <w:r w:rsidR="003840E7" w:rsidRPr="00C66EAE">
        <w:rPr>
          <w:rFonts w:eastAsia="Times New Roman"/>
          <w:b/>
          <w:snapToGrid/>
          <w:sz w:val="18"/>
          <w:szCs w:val="18"/>
          <w:lang w:val="en"/>
        </w:rPr>
        <w:t xml:space="preserve"> Craftsman Data</w:t>
      </w:r>
      <w:r w:rsidR="003840E7" w:rsidRPr="00C66EAE">
        <w:rPr>
          <w:rFonts w:eastAsia="Times New Roman"/>
          <w:snapToGrid/>
          <w:sz w:val="18"/>
          <w:szCs w:val="18"/>
          <w:lang w:val="en"/>
        </w:rPr>
        <w:br/>
        <w:t>According to data from the Sumedang Regency Industry Office in 2017, there were 282 tofu craftsmen [</w:t>
      </w:r>
      <w:r w:rsidRPr="00C66EAE">
        <w:rPr>
          <w:rFonts w:eastAsia="Times New Roman"/>
          <w:snapToGrid/>
          <w:sz w:val="18"/>
          <w:szCs w:val="18"/>
          <w:lang w:val="en"/>
        </w:rPr>
        <w:t>2</w:t>
      </w:r>
      <w:r w:rsidR="000217BF" w:rsidRPr="00C66EAE">
        <w:rPr>
          <w:rFonts w:eastAsia="Times New Roman"/>
          <w:snapToGrid/>
          <w:sz w:val="18"/>
          <w:szCs w:val="18"/>
          <w:lang w:val="en"/>
        </w:rPr>
        <w:t>7</w:t>
      </w:r>
      <w:r w:rsidR="003840E7" w:rsidRPr="00C66EAE">
        <w:rPr>
          <w:rFonts w:eastAsia="Times New Roman"/>
          <w:snapToGrid/>
          <w:sz w:val="18"/>
          <w:szCs w:val="18"/>
          <w:lang w:val="en"/>
        </w:rPr>
        <w:t xml:space="preserve">]. </w:t>
      </w:r>
      <w:r w:rsidRPr="00C66EAE">
        <w:rPr>
          <w:rFonts w:eastAsia="Times New Roman"/>
          <w:snapToGrid/>
          <w:sz w:val="18"/>
          <w:szCs w:val="18"/>
          <w:lang w:val="en"/>
        </w:rPr>
        <w:t>Table</w:t>
      </w:r>
      <w:r w:rsidR="003840E7" w:rsidRPr="00C66EAE">
        <w:rPr>
          <w:rFonts w:eastAsia="Times New Roman"/>
          <w:snapToGrid/>
          <w:sz w:val="18"/>
          <w:szCs w:val="18"/>
          <w:lang w:val="en"/>
        </w:rPr>
        <w:t xml:space="preserve"> </w:t>
      </w:r>
      <w:r w:rsidRPr="00C66EAE">
        <w:rPr>
          <w:rFonts w:eastAsia="Times New Roman"/>
          <w:snapToGrid/>
          <w:sz w:val="18"/>
          <w:szCs w:val="18"/>
          <w:lang w:val="en"/>
        </w:rPr>
        <w:t>2</w:t>
      </w:r>
      <w:r w:rsidR="003840E7" w:rsidRPr="00C66EAE">
        <w:rPr>
          <w:rFonts w:eastAsia="Times New Roman"/>
          <w:snapToGrid/>
          <w:sz w:val="18"/>
          <w:szCs w:val="18"/>
          <w:lang w:val="en"/>
        </w:rPr>
        <w:t xml:space="preserve">.4 presents a simplification of the data which is adjusted to the needs of this study. </w:t>
      </w:r>
    </w:p>
    <w:p w:rsidR="00EE74A8" w:rsidRDefault="00EE74A8" w:rsidP="00F009E7">
      <w:pPr>
        <w:jc w:val="center"/>
      </w:pPr>
    </w:p>
    <w:p w:rsidR="003840E7" w:rsidRPr="00E534A4" w:rsidRDefault="003840E7" w:rsidP="00F009E7">
      <w:pPr>
        <w:jc w:val="center"/>
        <w:rPr>
          <w:sz w:val="18"/>
          <w:szCs w:val="18"/>
        </w:rPr>
      </w:pPr>
      <w:r w:rsidRPr="00E534A4">
        <w:rPr>
          <w:sz w:val="18"/>
          <w:szCs w:val="18"/>
        </w:rPr>
        <w:t>Table</w:t>
      </w:r>
      <w:r w:rsidR="00FA5238" w:rsidRPr="00E534A4">
        <w:rPr>
          <w:sz w:val="18"/>
          <w:szCs w:val="18"/>
        </w:rPr>
        <w:t xml:space="preserve"> 2</w:t>
      </w:r>
      <w:r w:rsidRPr="00E534A4">
        <w:rPr>
          <w:sz w:val="18"/>
          <w:szCs w:val="18"/>
        </w:rPr>
        <w:t xml:space="preserve">.4 </w:t>
      </w:r>
    </w:p>
    <w:p w:rsidR="003840E7" w:rsidRPr="00E534A4" w:rsidRDefault="003840E7" w:rsidP="00F009E7">
      <w:pPr>
        <w:jc w:val="center"/>
        <w:rPr>
          <w:sz w:val="18"/>
          <w:szCs w:val="18"/>
        </w:rPr>
      </w:pPr>
      <w:r w:rsidRPr="00E534A4">
        <w:rPr>
          <w:sz w:val="18"/>
          <w:szCs w:val="18"/>
        </w:rPr>
        <w:t>Tofu Craft</w:t>
      </w:r>
      <w:r w:rsidR="00F009E7" w:rsidRPr="00E534A4">
        <w:rPr>
          <w:sz w:val="18"/>
          <w:szCs w:val="18"/>
        </w:rPr>
        <w:t>s</w:t>
      </w:r>
      <w:r w:rsidRPr="00E534A4">
        <w:rPr>
          <w:sz w:val="18"/>
          <w:szCs w:val="18"/>
        </w:rPr>
        <w:t>men in Sumedang in 2017</w:t>
      </w:r>
    </w:p>
    <w:tbl>
      <w:tblPr>
        <w:tblW w:w="0" w:type="auto"/>
        <w:jc w:val="center"/>
        <w:tblBorders>
          <w:top w:val="single" w:sz="8" w:space="0" w:color="000000"/>
          <w:left w:val="single" w:sz="8" w:space="0" w:color="000000"/>
          <w:bottom w:val="single" w:sz="4" w:space="0" w:color="000000"/>
          <w:right w:val="single" w:sz="8" w:space="0" w:color="000000"/>
          <w:insideH w:val="single" w:sz="4" w:space="0" w:color="000000"/>
          <w:insideV w:val="single" w:sz="8" w:space="0" w:color="000000"/>
        </w:tblBorders>
        <w:tblLook w:val="04A0" w:firstRow="1" w:lastRow="0" w:firstColumn="1" w:lastColumn="0" w:noHBand="0" w:noVBand="1"/>
      </w:tblPr>
      <w:tblGrid>
        <w:gridCol w:w="1034"/>
        <w:gridCol w:w="1139"/>
        <w:gridCol w:w="1270"/>
        <w:gridCol w:w="1219"/>
      </w:tblGrid>
      <w:tr w:rsidR="003840E7" w:rsidRPr="00EE74A8" w:rsidTr="003840E7">
        <w:trPr>
          <w:jc w:val="center"/>
        </w:trPr>
        <w:tc>
          <w:tcPr>
            <w:tcW w:w="1413" w:type="dxa"/>
            <w:shd w:val="clear" w:color="auto" w:fill="auto"/>
            <w:vAlign w:val="center"/>
          </w:tcPr>
          <w:p w:rsidR="003840E7" w:rsidRPr="00EE74A8" w:rsidRDefault="003840E7" w:rsidP="00835079">
            <w:pPr>
              <w:jc w:val="center"/>
              <w:rPr>
                <w:rFonts w:eastAsia="Calibri"/>
                <w:sz w:val="18"/>
                <w:szCs w:val="18"/>
              </w:rPr>
            </w:pPr>
            <w:r w:rsidRPr="00EE74A8">
              <w:rPr>
                <w:rFonts w:eastAsia="Calibri"/>
                <w:sz w:val="18"/>
                <w:szCs w:val="18"/>
              </w:rPr>
              <w:t>No. of Craft</w:t>
            </w:r>
            <w:r w:rsidR="00F009E7" w:rsidRPr="00EE74A8">
              <w:rPr>
                <w:rFonts w:eastAsia="Calibri"/>
                <w:sz w:val="18"/>
                <w:szCs w:val="18"/>
              </w:rPr>
              <w:t>s</w:t>
            </w:r>
            <w:r w:rsidRPr="00EE74A8">
              <w:rPr>
                <w:rFonts w:eastAsia="Calibri"/>
                <w:sz w:val="18"/>
                <w:szCs w:val="18"/>
              </w:rPr>
              <w:t>men</w:t>
            </w:r>
          </w:p>
        </w:tc>
        <w:tc>
          <w:tcPr>
            <w:tcW w:w="1540" w:type="dxa"/>
            <w:shd w:val="clear" w:color="auto" w:fill="auto"/>
            <w:vAlign w:val="center"/>
          </w:tcPr>
          <w:p w:rsidR="003840E7" w:rsidRPr="00EE74A8" w:rsidRDefault="003840E7" w:rsidP="00835079">
            <w:pPr>
              <w:jc w:val="center"/>
              <w:rPr>
                <w:rFonts w:eastAsia="Calibri"/>
                <w:sz w:val="18"/>
                <w:szCs w:val="18"/>
              </w:rPr>
            </w:pPr>
            <w:r w:rsidRPr="00EE74A8">
              <w:rPr>
                <w:rFonts w:eastAsia="Calibri"/>
                <w:sz w:val="18"/>
                <w:szCs w:val="18"/>
              </w:rPr>
              <w:t xml:space="preserve">No. of </w:t>
            </w:r>
            <w:r w:rsidR="00F009E7" w:rsidRPr="00EE74A8">
              <w:rPr>
                <w:rFonts w:eastAsia="Calibri"/>
                <w:sz w:val="18"/>
                <w:szCs w:val="18"/>
              </w:rPr>
              <w:t>Subd</w:t>
            </w:r>
            <w:r w:rsidRPr="00EE74A8">
              <w:rPr>
                <w:rFonts w:eastAsia="Calibri"/>
                <w:sz w:val="18"/>
                <w:szCs w:val="18"/>
              </w:rPr>
              <w:t>istric</w:t>
            </w:r>
            <w:r w:rsidR="00F009E7" w:rsidRPr="00EE74A8">
              <w:rPr>
                <w:rFonts w:eastAsia="Calibri"/>
                <w:sz w:val="18"/>
                <w:szCs w:val="18"/>
              </w:rPr>
              <w:t>t</w:t>
            </w:r>
            <w:r w:rsidRPr="00EE74A8">
              <w:rPr>
                <w:rFonts w:eastAsia="Calibri"/>
                <w:sz w:val="18"/>
                <w:szCs w:val="18"/>
              </w:rPr>
              <w:t>s</w:t>
            </w:r>
          </w:p>
        </w:tc>
        <w:tc>
          <w:tcPr>
            <w:tcW w:w="2623" w:type="dxa"/>
            <w:shd w:val="clear" w:color="auto" w:fill="auto"/>
            <w:vAlign w:val="center"/>
          </w:tcPr>
          <w:p w:rsidR="003840E7" w:rsidRPr="00EE74A8" w:rsidRDefault="003840E7" w:rsidP="00835079">
            <w:pPr>
              <w:jc w:val="center"/>
              <w:rPr>
                <w:rFonts w:eastAsia="Calibri"/>
                <w:sz w:val="18"/>
                <w:szCs w:val="18"/>
              </w:rPr>
            </w:pPr>
            <w:r w:rsidRPr="00EE74A8">
              <w:rPr>
                <w:rFonts w:eastAsia="Calibri"/>
                <w:sz w:val="18"/>
                <w:szCs w:val="18"/>
              </w:rPr>
              <w:t>Production Capacity</w:t>
            </w:r>
          </w:p>
          <w:p w:rsidR="003840E7" w:rsidRPr="00EE74A8" w:rsidRDefault="003840E7" w:rsidP="00835079">
            <w:pPr>
              <w:jc w:val="center"/>
              <w:rPr>
                <w:rFonts w:eastAsia="Calibri"/>
                <w:sz w:val="18"/>
                <w:szCs w:val="18"/>
              </w:rPr>
            </w:pPr>
            <w:r w:rsidRPr="00EE74A8">
              <w:rPr>
                <w:rFonts w:eastAsia="Calibri"/>
                <w:sz w:val="18"/>
                <w:szCs w:val="18"/>
              </w:rPr>
              <w:t>(kg/month)</w:t>
            </w:r>
          </w:p>
        </w:tc>
        <w:tc>
          <w:tcPr>
            <w:tcW w:w="2287" w:type="dxa"/>
            <w:shd w:val="clear" w:color="auto" w:fill="auto"/>
            <w:vAlign w:val="center"/>
          </w:tcPr>
          <w:p w:rsidR="003840E7" w:rsidRPr="00EE74A8" w:rsidRDefault="003840E7" w:rsidP="00835079">
            <w:pPr>
              <w:jc w:val="center"/>
              <w:rPr>
                <w:rFonts w:eastAsia="Calibri"/>
                <w:sz w:val="18"/>
                <w:szCs w:val="18"/>
              </w:rPr>
            </w:pPr>
            <w:r w:rsidRPr="00EE74A8">
              <w:rPr>
                <w:rFonts w:eastAsia="Calibri"/>
                <w:sz w:val="18"/>
                <w:szCs w:val="18"/>
              </w:rPr>
              <w:t>Total Capacity</w:t>
            </w:r>
          </w:p>
          <w:p w:rsidR="003840E7" w:rsidRPr="00EE74A8" w:rsidRDefault="003840E7" w:rsidP="00835079">
            <w:pPr>
              <w:jc w:val="center"/>
              <w:rPr>
                <w:rFonts w:eastAsia="Calibri"/>
                <w:sz w:val="18"/>
                <w:szCs w:val="18"/>
              </w:rPr>
            </w:pPr>
            <w:r w:rsidRPr="00EE74A8">
              <w:rPr>
                <w:rFonts w:eastAsia="Calibri"/>
                <w:sz w:val="18"/>
                <w:szCs w:val="18"/>
              </w:rPr>
              <w:t>(kg/month)</w:t>
            </w:r>
          </w:p>
        </w:tc>
      </w:tr>
      <w:tr w:rsidR="003840E7" w:rsidRPr="00EE74A8" w:rsidTr="003840E7">
        <w:trPr>
          <w:jc w:val="center"/>
        </w:trPr>
        <w:tc>
          <w:tcPr>
            <w:tcW w:w="1413" w:type="dxa"/>
            <w:shd w:val="clear" w:color="auto" w:fill="auto"/>
            <w:vAlign w:val="center"/>
          </w:tcPr>
          <w:p w:rsidR="003840E7" w:rsidRPr="00EE74A8" w:rsidRDefault="003840E7" w:rsidP="00835079">
            <w:pPr>
              <w:jc w:val="center"/>
              <w:rPr>
                <w:rFonts w:eastAsia="Calibri"/>
                <w:sz w:val="18"/>
                <w:szCs w:val="18"/>
              </w:rPr>
            </w:pPr>
            <w:r w:rsidRPr="00EE74A8">
              <w:rPr>
                <w:rFonts w:eastAsia="Calibri"/>
                <w:sz w:val="18"/>
                <w:szCs w:val="18"/>
              </w:rPr>
              <w:t>282</w:t>
            </w:r>
          </w:p>
        </w:tc>
        <w:tc>
          <w:tcPr>
            <w:tcW w:w="1540" w:type="dxa"/>
            <w:shd w:val="clear" w:color="auto" w:fill="auto"/>
            <w:vAlign w:val="center"/>
          </w:tcPr>
          <w:p w:rsidR="003840E7" w:rsidRPr="00EE74A8" w:rsidRDefault="003840E7" w:rsidP="00835079">
            <w:pPr>
              <w:jc w:val="center"/>
              <w:rPr>
                <w:rFonts w:eastAsia="Calibri"/>
                <w:sz w:val="18"/>
                <w:szCs w:val="18"/>
              </w:rPr>
            </w:pPr>
            <w:r w:rsidRPr="00EE74A8">
              <w:rPr>
                <w:rFonts w:eastAsia="Calibri"/>
                <w:sz w:val="18"/>
                <w:szCs w:val="18"/>
              </w:rPr>
              <w:t>22</w:t>
            </w:r>
          </w:p>
        </w:tc>
        <w:tc>
          <w:tcPr>
            <w:tcW w:w="2623" w:type="dxa"/>
            <w:shd w:val="clear" w:color="auto" w:fill="auto"/>
            <w:vAlign w:val="center"/>
          </w:tcPr>
          <w:p w:rsidR="003840E7" w:rsidRPr="00EE74A8" w:rsidRDefault="003840E7" w:rsidP="00835079">
            <w:pPr>
              <w:jc w:val="center"/>
              <w:rPr>
                <w:rFonts w:eastAsia="Calibri"/>
                <w:sz w:val="18"/>
                <w:szCs w:val="18"/>
              </w:rPr>
            </w:pPr>
            <w:r w:rsidRPr="00EE74A8">
              <w:rPr>
                <w:rFonts w:eastAsia="Calibri"/>
                <w:sz w:val="18"/>
                <w:szCs w:val="18"/>
              </w:rPr>
              <w:t>1.200</w:t>
            </w:r>
          </w:p>
          <w:p w:rsidR="003840E7" w:rsidRPr="00EE74A8" w:rsidRDefault="003840E7" w:rsidP="00835079">
            <w:pPr>
              <w:jc w:val="center"/>
              <w:rPr>
                <w:rFonts w:eastAsia="Calibri"/>
                <w:sz w:val="18"/>
                <w:szCs w:val="18"/>
              </w:rPr>
            </w:pPr>
            <w:r w:rsidRPr="00EE74A8">
              <w:rPr>
                <w:rFonts w:eastAsia="Calibri"/>
                <w:sz w:val="18"/>
                <w:szCs w:val="18"/>
              </w:rPr>
              <w:t>s/d 900.000</w:t>
            </w:r>
          </w:p>
        </w:tc>
        <w:tc>
          <w:tcPr>
            <w:tcW w:w="2287" w:type="dxa"/>
            <w:shd w:val="clear" w:color="auto" w:fill="auto"/>
            <w:vAlign w:val="center"/>
          </w:tcPr>
          <w:p w:rsidR="003840E7" w:rsidRPr="00EE74A8" w:rsidRDefault="003840E7" w:rsidP="00835079">
            <w:pPr>
              <w:jc w:val="center"/>
              <w:rPr>
                <w:rFonts w:eastAsia="Calibri"/>
                <w:sz w:val="18"/>
                <w:szCs w:val="18"/>
              </w:rPr>
            </w:pPr>
            <w:r w:rsidRPr="00EE74A8">
              <w:rPr>
                <w:rFonts w:eastAsia="Calibri"/>
                <w:sz w:val="18"/>
                <w:szCs w:val="18"/>
              </w:rPr>
              <w:t>12.781.704</w:t>
            </w:r>
          </w:p>
        </w:tc>
      </w:tr>
    </w:tbl>
    <w:p w:rsidR="00E534A4" w:rsidRDefault="00E534A4" w:rsidP="003840E7">
      <w:pPr>
        <w:widowControl/>
        <w:rPr>
          <w:rFonts w:eastAsia="Times New Roman"/>
          <w:b/>
          <w:snapToGrid/>
          <w:sz w:val="18"/>
          <w:szCs w:val="18"/>
          <w:lang w:val="en"/>
        </w:rPr>
      </w:pPr>
    </w:p>
    <w:p w:rsidR="008D37F5" w:rsidRDefault="00F009E7" w:rsidP="00C66EAE">
      <w:pPr>
        <w:widowControl/>
        <w:rPr>
          <w:rFonts w:eastAsia="Times New Roman"/>
          <w:snapToGrid/>
          <w:sz w:val="18"/>
          <w:szCs w:val="18"/>
          <w:lang w:val="en"/>
        </w:rPr>
      </w:pPr>
      <w:r w:rsidRPr="00F009E7">
        <w:rPr>
          <w:rFonts w:eastAsia="Times New Roman"/>
          <w:b/>
          <w:snapToGrid/>
          <w:sz w:val="18"/>
          <w:szCs w:val="18"/>
          <w:lang w:val="en"/>
        </w:rPr>
        <w:t>2</w:t>
      </w:r>
      <w:r w:rsidR="003840E7" w:rsidRPr="003840E7">
        <w:rPr>
          <w:rFonts w:eastAsia="Times New Roman"/>
          <w:b/>
          <w:snapToGrid/>
          <w:sz w:val="18"/>
          <w:szCs w:val="18"/>
          <w:lang w:val="en"/>
        </w:rPr>
        <w:t>.</w:t>
      </w:r>
      <w:r w:rsidRPr="00F009E7">
        <w:rPr>
          <w:rFonts w:eastAsia="Times New Roman"/>
          <w:b/>
          <w:snapToGrid/>
          <w:sz w:val="18"/>
          <w:szCs w:val="18"/>
          <w:lang w:val="en"/>
        </w:rPr>
        <w:t>5</w:t>
      </w:r>
      <w:r w:rsidR="003840E7" w:rsidRPr="003840E7">
        <w:rPr>
          <w:rFonts w:eastAsia="Times New Roman"/>
          <w:b/>
          <w:snapToGrid/>
          <w:sz w:val="18"/>
          <w:szCs w:val="18"/>
          <w:lang w:val="en"/>
        </w:rPr>
        <w:t>.2 Cattle Breeder Data</w:t>
      </w:r>
      <w:r w:rsidR="003840E7" w:rsidRPr="003840E7">
        <w:rPr>
          <w:rFonts w:eastAsia="Times New Roman"/>
          <w:snapToGrid/>
          <w:sz w:val="18"/>
          <w:szCs w:val="18"/>
          <w:lang w:val="en"/>
        </w:rPr>
        <w:br/>
        <w:t>C</w:t>
      </w:r>
      <w:r w:rsidRPr="00F009E7">
        <w:rPr>
          <w:rFonts w:eastAsia="Times New Roman"/>
          <w:snapToGrid/>
          <w:sz w:val="18"/>
          <w:szCs w:val="18"/>
          <w:lang w:val="en"/>
        </w:rPr>
        <w:t xml:space="preserve">attle </w:t>
      </w:r>
      <w:r w:rsidR="003840E7" w:rsidRPr="003840E7">
        <w:rPr>
          <w:rFonts w:eastAsia="Times New Roman"/>
          <w:snapToGrid/>
          <w:sz w:val="18"/>
          <w:szCs w:val="18"/>
          <w:lang w:val="en"/>
        </w:rPr>
        <w:t>population in 2017 in Sumedang Regency according to BPS Catalog: 1102001.3211 [</w:t>
      </w:r>
      <w:r w:rsidRPr="00F009E7">
        <w:rPr>
          <w:rFonts w:eastAsia="Times New Roman"/>
          <w:snapToGrid/>
          <w:sz w:val="18"/>
          <w:szCs w:val="18"/>
          <w:lang w:val="en"/>
        </w:rPr>
        <w:t>2</w:t>
      </w:r>
      <w:r w:rsidR="000217BF">
        <w:rPr>
          <w:rFonts w:eastAsia="Times New Roman"/>
          <w:snapToGrid/>
          <w:sz w:val="18"/>
          <w:szCs w:val="18"/>
          <w:lang w:val="en"/>
        </w:rPr>
        <w:t>5</w:t>
      </w:r>
      <w:r w:rsidR="003840E7" w:rsidRPr="003840E7">
        <w:rPr>
          <w:rFonts w:eastAsia="Times New Roman"/>
          <w:snapToGrid/>
          <w:sz w:val="18"/>
          <w:szCs w:val="18"/>
          <w:lang w:val="en"/>
        </w:rPr>
        <w:t xml:space="preserve">] as shown in Table </w:t>
      </w:r>
      <w:r w:rsidRPr="00F009E7">
        <w:rPr>
          <w:rFonts w:eastAsia="Times New Roman"/>
          <w:snapToGrid/>
          <w:sz w:val="18"/>
          <w:szCs w:val="18"/>
          <w:lang w:val="en"/>
        </w:rPr>
        <w:t>2</w:t>
      </w:r>
      <w:r w:rsidR="003840E7" w:rsidRPr="003840E7">
        <w:rPr>
          <w:rFonts w:eastAsia="Times New Roman"/>
          <w:snapToGrid/>
          <w:sz w:val="18"/>
          <w:szCs w:val="18"/>
          <w:lang w:val="en"/>
        </w:rPr>
        <w:t>.5.</w:t>
      </w:r>
    </w:p>
    <w:p w:rsidR="00C66EAE" w:rsidRDefault="00C66EAE" w:rsidP="00C66EAE">
      <w:pPr>
        <w:widowControl/>
        <w:rPr>
          <w:rFonts w:eastAsia="Times New Roman"/>
          <w:snapToGrid/>
          <w:sz w:val="18"/>
          <w:szCs w:val="18"/>
          <w:lang w:val="en"/>
        </w:rPr>
      </w:pPr>
    </w:p>
    <w:p w:rsidR="00E7327C" w:rsidRPr="00E7327C" w:rsidRDefault="00E7327C" w:rsidP="00E7327C">
      <w:pPr>
        <w:jc w:val="center"/>
        <w:rPr>
          <w:sz w:val="18"/>
          <w:szCs w:val="18"/>
        </w:rPr>
      </w:pPr>
      <w:r w:rsidRPr="00E7327C">
        <w:rPr>
          <w:sz w:val="18"/>
          <w:szCs w:val="18"/>
        </w:rPr>
        <w:t xml:space="preserve">Table </w:t>
      </w:r>
      <w:r w:rsidR="00F009E7">
        <w:rPr>
          <w:sz w:val="18"/>
          <w:szCs w:val="18"/>
        </w:rPr>
        <w:t>2</w:t>
      </w:r>
      <w:r w:rsidRPr="00E7327C">
        <w:rPr>
          <w:sz w:val="18"/>
          <w:szCs w:val="18"/>
        </w:rPr>
        <w:t xml:space="preserve">.5 </w:t>
      </w:r>
    </w:p>
    <w:p w:rsidR="00E7327C" w:rsidRPr="00E7327C" w:rsidRDefault="00E7327C" w:rsidP="00E7327C">
      <w:pPr>
        <w:jc w:val="center"/>
        <w:rPr>
          <w:sz w:val="18"/>
          <w:szCs w:val="18"/>
        </w:rPr>
      </w:pPr>
      <w:r>
        <w:rPr>
          <w:sz w:val="18"/>
          <w:szCs w:val="18"/>
        </w:rPr>
        <w:t>C</w:t>
      </w:r>
      <w:r w:rsidR="00F009E7">
        <w:rPr>
          <w:sz w:val="18"/>
          <w:szCs w:val="18"/>
        </w:rPr>
        <w:t>attle</w:t>
      </w:r>
      <w:r>
        <w:rPr>
          <w:sz w:val="18"/>
          <w:szCs w:val="18"/>
        </w:rPr>
        <w:t xml:space="preserve"> Population in</w:t>
      </w:r>
      <w:r w:rsidRPr="00E7327C">
        <w:rPr>
          <w:sz w:val="18"/>
          <w:szCs w:val="18"/>
        </w:rPr>
        <w:t xml:space="preserve"> Sumedang</w:t>
      </w:r>
      <w:r>
        <w:rPr>
          <w:sz w:val="18"/>
          <w:szCs w:val="18"/>
        </w:rPr>
        <w:t xml:space="preserve"> Regency</w:t>
      </w:r>
    </w:p>
    <w:tbl>
      <w:tblPr>
        <w:tblW w:w="0" w:type="auto"/>
        <w:jc w:val="center"/>
        <w:tblBorders>
          <w:top w:val="single" w:sz="8" w:space="0" w:color="000000"/>
          <w:right w:val="single" w:sz="8" w:space="0" w:color="000000"/>
        </w:tblBorders>
        <w:tblLook w:val="04A0" w:firstRow="1" w:lastRow="0" w:firstColumn="1" w:lastColumn="0" w:noHBand="0" w:noVBand="1"/>
      </w:tblPr>
      <w:tblGrid>
        <w:gridCol w:w="821"/>
        <w:gridCol w:w="647"/>
        <w:gridCol w:w="1067"/>
        <w:gridCol w:w="898"/>
        <w:gridCol w:w="1201"/>
      </w:tblGrid>
      <w:tr w:rsidR="00F009E7" w:rsidRPr="00E7327C" w:rsidTr="00FA6CAC">
        <w:trPr>
          <w:jc w:val="center"/>
        </w:trPr>
        <w:tc>
          <w:tcPr>
            <w:tcW w:w="821" w:type="dxa"/>
            <w:tcBorders>
              <w:top w:val="single" w:sz="8" w:space="0" w:color="000000"/>
              <w:left w:val="single" w:sz="8" w:space="0" w:color="000000"/>
              <w:bottom w:val="single" w:sz="8" w:space="0" w:color="000000"/>
              <w:right w:val="single" w:sz="8" w:space="0" w:color="000000"/>
            </w:tcBorders>
            <w:shd w:val="clear" w:color="auto" w:fill="auto"/>
            <w:vAlign w:val="center"/>
          </w:tcPr>
          <w:p w:rsidR="00F009E7" w:rsidRPr="00E7327C" w:rsidRDefault="00F009E7" w:rsidP="00835079">
            <w:pPr>
              <w:jc w:val="center"/>
              <w:rPr>
                <w:rFonts w:eastAsia="Calibri"/>
                <w:sz w:val="18"/>
                <w:szCs w:val="18"/>
              </w:rPr>
            </w:pPr>
            <w:r>
              <w:rPr>
                <w:rFonts w:eastAsia="Calibri"/>
                <w:sz w:val="18"/>
                <w:szCs w:val="18"/>
              </w:rPr>
              <w:t>Tyoe of Cattle</w:t>
            </w:r>
          </w:p>
        </w:tc>
        <w:tc>
          <w:tcPr>
            <w:tcW w:w="647" w:type="dxa"/>
            <w:tcBorders>
              <w:top w:val="single" w:sz="8" w:space="0" w:color="000000"/>
              <w:left w:val="single" w:sz="8" w:space="0" w:color="000000"/>
              <w:bottom w:val="single" w:sz="8" w:space="0" w:color="000000"/>
              <w:right w:val="single" w:sz="8" w:space="0" w:color="000000"/>
            </w:tcBorders>
          </w:tcPr>
          <w:p w:rsidR="00F009E7" w:rsidRDefault="00F009E7" w:rsidP="00835079">
            <w:pPr>
              <w:jc w:val="center"/>
              <w:rPr>
                <w:rFonts w:eastAsia="Calibri"/>
                <w:sz w:val="18"/>
                <w:szCs w:val="18"/>
              </w:rPr>
            </w:pPr>
          </w:p>
        </w:tc>
        <w:tc>
          <w:tcPr>
            <w:tcW w:w="10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009E7" w:rsidRPr="00E7327C" w:rsidRDefault="00F009E7" w:rsidP="00835079">
            <w:pPr>
              <w:jc w:val="center"/>
              <w:rPr>
                <w:rFonts w:eastAsia="Calibri"/>
                <w:sz w:val="18"/>
                <w:szCs w:val="18"/>
              </w:rPr>
            </w:pPr>
            <w:r>
              <w:rPr>
                <w:rFonts w:eastAsia="Calibri"/>
                <w:sz w:val="18"/>
                <w:szCs w:val="18"/>
              </w:rPr>
              <w:t>No. of Subdistricts</w:t>
            </w:r>
          </w:p>
        </w:tc>
        <w:tc>
          <w:tcPr>
            <w:tcW w:w="89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009E7" w:rsidRPr="00E7327C" w:rsidRDefault="00F009E7" w:rsidP="00835079">
            <w:pPr>
              <w:jc w:val="center"/>
              <w:rPr>
                <w:rFonts w:eastAsia="Calibri"/>
                <w:sz w:val="18"/>
                <w:szCs w:val="18"/>
              </w:rPr>
            </w:pPr>
            <w:r>
              <w:rPr>
                <w:rFonts w:eastAsia="Calibri"/>
                <w:sz w:val="18"/>
                <w:szCs w:val="18"/>
              </w:rPr>
              <w:t>No. of Cattles</w:t>
            </w:r>
            <w:r w:rsidRPr="00E7327C">
              <w:rPr>
                <w:rFonts w:eastAsia="Calibri"/>
                <w:sz w:val="18"/>
                <w:szCs w:val="18"/>
              </w:rPr>
              <w:t xml:space="preserve"> (</w:t>
            </w:r>
            <w:r>
              <w:rPr>
                <w:rFonts w:eastAsia="Calibri"/>
                <w:sz w:val="18"/>
                <w:szCs w:val="18"/>
              </w:rPr>
              <w:t>Tails</w:t>
            </w:r>
            <w:r w:rsidRPr="00E7327C">
              <w:rPr>
                <w:rFonts w:eastAsia="Calibri"/>
                <w:sz w:val="18"/>
                <w:szCs w:val="18"/>
              </w:rPr>
              <w:t>)</w:t>
            </w:r>
          </w:p>
        </w:tc>
        <w:tc>
          <w:tcPr>
            <w:tcW w:w="1201" w:type="dxa"/>
            <w:tcBorders>
              <w:top w:val="single" w:sz="8" w:space="0" w:color="000000"/>
              <w:left w:val="single" w:sz="8" w:space="0" w:color="000000"/>
              <w:bottom w:val="single" w:sz="8" w:space="0" w:color="000000"/>
            </w:tcBorders>
            <w:shd w:val="clear" w:color="auto" w:fill="auto"/>
            <w:vAlign w:val="center"/>
          </w:tcPr>
          <w:p w:rsidR="00F009E7" w:rsidRPr="00C66EAE" w:rsidRDefault="00F009E7" w:rsidP="00835079">
            <w:pPr>
              <w:jc w:val="center"/>
              <w:rPr>
                <w:rFonts w:eastAsia="Calibri"/>
                <w:sz w:val="18"/>
                <w:szCs w:val="18"/>
                <w:lang w:val="en-US"/>
              </w:rPr>
            </w:pPr>
            <w:r w:rsidRPr="00E7327C">
              <w:rPr>
                <w:rFonts w:eastAsia="Calibri"/>
                <w:sz w:val="18"/>
                <w:szCs w:val="18"/>
              </w:rPr>
              <w:t>Poten</w:t>
            </w:r>
            <w:r>
              <w:rPr>
                <w:rFonts w:eastAsia="Calibri"/>
                <w:sz w:val="18"/>
                <w:szCs w:val="18"/>
              </w:rPr>
              <w:t>tial for Cattle’s Manure</w:t>
            </w:r>
            <w:r w:rsidRPr="00E7327C">
              <w:rPr>
                <w:rFonts w:eastAsia="Calibri"/>
                <w:sz w:val="18"/>
                <w:szCs w:val="18"/>
              </w:rPr>
              <w:t xml:space="preserve"> (kg/</w:t>
            </w:r>
            <w:r>
              <w:rPr>
                <w:rFonts w:eastAsia="Calibri"/>
                <w:sz w:val="18"/>
                <w:szCs w:val="18"/>
              </w:rPr>
              <w:t>day</w:t>
            </w:r>
            <w:r w:rsidRPr="00E7327C">
              <w:rPr>
                <w:rFonts w:eastAsia="Calibri"/>
                <w:sz w:val="18"/>
                <w:szCs w:val="18"/>
              </w:rPr>
              <w:t>)</w:t>
            </w:r>
            <w:r w:rsidR="00C66EAE">
              <w:rPr>
                <w:rFonts w:eastAsia="Calibri"/>
                <w:sz w:val="18"/>
                <w:szCs w:val="18"/>
                <w:lang w:val="en-US"/>
              </w:rPr>
              <w:t xml:space="preserve"> (a)</w:t>
            </w:r>
          </w:p>
        </w:tc>
      </w:tr>
      <w:tr w:rsidR="00F009E7" w:rsidRPr="00E7327C" w:rsidTr="00FA6CAC">
        <w:trPr>
          <w:jc w:val="center"/>
        </w:trPr>
        <w:tc>
          <w:tcPr>
            <w:tcW w:w="821" w:type="dxa"/>
            <w:tcBorders>
              <w:top w:val="single" w:sz="8" w:space="0" w:color="000000"/>
              <w:left w:val="single" w:sz="8" w:space="0" w:color="000000"/>
              <w:bottom w:val="single" w:sz="8" w:space="0" w:color="000000"/>
              <w:right w:val="single" w:sz="8" w:space="0" w:color="000000"/>
            </w:tcBorders>
            <w:shd w:val="clear" w:color="auto" w:fill="auto"/>
          </w:tcPr>
          <w:p w:rsidR="00F009E7" w:rsidRPr="00E7327C" w:rsidRDefault="00F009E7" w:rsidP="00835079">
            <w:pPr>
              <w:jc w:val="center"/>
              <w:rPr>
                <w:rFonts w:eastAsia="Calibri"/>
                <w:sz w:val="18"/>
                <w:szCs w:val="18"/>
              </w:rPr>
            </w:pPr>
            <w:r>
              <w:rPr>
                <w:rFonts w:eastAsia="Calibri"/>
                <w:sz w:val="18"/>
                <w:szCs w:val="18"/>
              </w:rPr>
              <w:t>Dairy</w:t>
            </w:r>
          </w:p>
        </w:tc>
        <w:tc>
          <w:tcPr>
            <w:tcW w:w="647" w:type="dxa"/>
            <w:tcBorders>
              <w:top w:val="single" w:sz="8" w:space="0" w:color="000000"/>
              <w:left w:val="single" w:sz="8" w:space="0" w:color="000000"/>
              <w:bottom w:val="single" w:sz="8" w:space="0" w:color="000000"/>
              <w:right w:val="single" w:sz="8" w:space="0" w:color="000000"/>
            </w:tcBorders>
          </w:tcPr>
          <w:p w:rsidR="00F009E7" w:rsidRPr="00E7327C" w:rsidRDefault="00F009E7" w:rsidP="00835079">
            <w:pPr>
              <w:jc w:val="center"/>
              <w:rPr>
                <w:rFonts w:eastAsia="Calibri"/>
                <w:sz w:val="18"/>
                <w:szCs w:val="18"/>
              </w:rPr>
            </w:pPr>
          </w:p>
        </w:tc>
        <w:tc>
          <w:tcPr>
            <w:tcW w:w="1067" w:type="dxa"/>
            <w:tcBorders>
              <w:top w:val="single" w:sz="8" w:space="0" w:color="000000"/>
              <w:left w:val="single" w:sz="8" w:space="0" w:color="000000"/>
              <w:bottom w:val="single" w:sz="8" w:space="0" w:color="000000"/>
              <w:right w:val="single" w:sz="8" w:space="0" w:color="000000"/>
            </w:tcBorders>
            <w:shd w:val="clear" w:color="auto" w:fill="auto"/>
          </w:tcPr>
          <w:p w:rsidR="00F009E7" w:rsidRPr="00E7327C" w:rsidRDefault="00F009E7" w:rsidP="00835079">
            <w:pPr>
              <w:jc w:val="center"/>
              <w:rPr>
                <w:rFonts w:eastAsia="Calibri"/>
                <w:sz w:val="18"/>
                <w:szCs w:val="18"/>
              </w:rPr>
            </w:pPr>
            <w:r w:rsidRPr="00E7327C">
              <w:rPr>
                <w:rFonts w:eastAsia="Calibri"/>
                <w:sz w:val="18"/>
                <w:szCs w:val="18"/>
              </w:rPr>
              <w:t>12</w:t>
            </w:r>
          </w:p>
        </w:tc>
        <w:tc>
          <w:tcPr>
            <w:tcW w:w="898" w:type="dxa"/>
            <w:tcBorders>
              <w:top w:val="single" w:sz="8" w:space="0" w:color="000000"/>
              <w:left w:val="single" w:sz="8" w:space="0" w:color="000000"/>
              <w:bottom w:val="single" w:sz="8" w:space="0" w:color="000000"/>
              <w:right w:val="single" w:sz="8" w:space="0" w:color="000000"/>
            </w:tcBorders>
            <w:shd w:val="clear" w:color="auto" w:fill="auto"/>
          </w:tcPr>
          <w:p w:rsidR="00F009E7" w:rsidRPr="00E7327C" w:rsidRDefault="00F009E7" w:rsidP="00835079">
            <w:pPr>
              <w:jc w:val="center"/>
              <w:rPr>
                <w:rFonts w:eastAsia="Calibri"/>
                <w:sz w:val="18"/>
                <w:szCs w:val="18"/>
              </w:rPr>
            </w:pPr>
            <w:r w:rsidRPr="00E7327C">
              <w:rPr>
                <w:rFonts w:eastAsia="Calibri"/>
                <w:sz w:val="18"/>
                <w:szCs w:val="18"/>
              </w:rPr>
              <w:t>4.163</w:t>
            </w:r>
          </w:p>
        </w:tc>
        <w:tc>
          <w:tcPr>
            <w:tcW w:w="1201" w:type="dxa"/>
            <w:tcBorders>
              <w:top w:val="single" w:sz="8" w:space="0" w:color="000000"/>
              <w:left w:val="single" w:sz="8" w:space="0" w:color="000000"/>
              <w:bottom w:val="single" w:sz="8" w:space="0" w:color="000000"/>
            </w:tcBorders>
            <w:shd w:val="clear" w:color="auto" w:fill="auto"/>
          </w:tcPr>
          <w:p w:rsidR="00F009E7" w:rsidRPr="00E7327C" w:rsidRDefault="00F009E7" w:rsidP="00835079">
            <w:pPr>
              <w:jc w:val="center"/>
              <w:rPr>
                <w:rFonts w:eastAsia="Calibri"/>
                <w:sz w:val="18"/>
                <w:szCs w:val="18"/>
              </w:rPr>
            </w:pPr>
            <w:r w:rsidRPr="00E7327C">
              <w:rPr>
                <w:rFonts w:eastAsia="Calibri"/>
                <w:sz w:val="18"/>
                <w:szCs w:val="18"/>
              </w:rPr>
              <w:t>114.182</w:t>
            </w:r>
          </w:p>
        </w:tc>
      </w:tr>
      <w:tr w:rsidR="00F009E7" w:rsidRPr="00E7327C" w:rsidTr="00FA6CAC">
        <w:trPr>
          <w:jc w:val="center"/>
        </w:trPr>
        <w:tc>
          <w:tcPr>
            <w:tcW w:w="821" w:type="dxa"/>
            <w:tcBorders>
              <w:top w:val="single" w:sz="8" w:space="0" w:color="000000"/>
              <w:left w:val="single" w:sz="8" w:space="0" w:color="000000"/>
              <w:bottom w:val="single" w:sz="8" w:space="0" w:color="000000"/>
              <w:right w:val="single" w:sz="8" w:space="0" w:color="000000"/>
            </w:tcBorders>
            <w:shd w:val="clear" w:color="auto" w:fill="auto"/>
          </w:tcPr>
          <w:p w:rsidR="00F009E7" w:rsidRPr="00E7327C" w:rsidRDefault="00F009E7" w:rsidP="00835079">
            <w:pPr>
              <w:jc w:val="center"/>
              <w:rPr>
                <w:rFonts w:eastAsia="Calibri"/>
                <w:sz w:val="18"/>
                <w:szCs w:val="18"/>
              </w:rPr>
            </w:pPr>
            <w:r>
              <w:rPr>
                <w:rFonts w:eastAsia="Calibri"/>
                <w:sz w:val="18"/>
                <w:szCs w:val="18"/>
              </w:rPr>
              <w:t>Beef</w:t>
            </w:r>
          </w:p>
        </w:tc>
        <w:tc>
          <w:tcPr>
            <w:tcW w:w="647" w:type="dxa"/>
            <w:tcBorders>
              <w:top w:val="single" w:sz="8" w:space="0" w:color="000000"/>
              <w:left w:val="single" w:sz="8" w:space="0" w:color="000000"/>
              <w:bottom w:val="single" w:sz="8" w:space="0" w:color="000000"/>
              <w:right w:val="single" w:sz="8" w:space="0" w:color="000000"/>
            </w:tcBorders>
          </w:tcPr>
          <w:p w:rsidR="00F009E7" w:rsidRPr="00E7327C" w:rsidRDefault="00F009E7" w:rsidP="00835079">
            <w:pPr>
              <w:jc w:val="center"/>
              <w:rPr>
                <w:rFonts w:eastAsia="Calibri"/>
                <w:sz w:val="18"/>
                <w:szCs w:val="18"/>
              </w:rPr>
            </w:pPr>
          </w:p>
        </w:tc>
        <w:tc>
          <w:tcPr>
            <w:tcW w:w="1067" w:type="dxa"/>
            <w:tcBorders>
              <w:top w:val="single" w:sz="8" w:space="0" w:color="000000"/>
              <w:left w:val="single" w:sz="8" w:space="0" w:color="000000"/>
              <w:bottom w:val="single" w:sz="8" w:space="0" w:color="000000"/>
              <w:right w:val="single" w:sz="8" w:space="0" w:color="000000"/>
            </w:tcBorders>
            <w:shd w:val="clear" w:color="auto" w:fill="auto"/>
          </w:tcPr>
          <w:p w:rsidR="00F009E7" w:rsidRPr="00E7327C" w:rsidRDefault="00F009E7" w:rsidP="00835079">
            <w:pPr>
              <w:jc w:val="center"/>
              <w:rPr>
                <w:rFonts w:eastAsia="Calibri"/>
                <w:sz w:val="18"/>
                <w:szCs w:val="18"/>
              </w:rPr>
            </w:pPr>
            <w:r w:rsidRPr="00E7327C">
              <w:rPr>
                <w:rFonts w:eastAsia="Calibri"/>
                <w:sz w:val="18"/>
                <w:szCs w:val="18"/>
              </w:rPr>
              <w:t>25</w:t>
            </w:r>
          </w:p>
        </w:tc>
        <w:tc>
          <w:tcPr>
            <w:tcW w:w="898" w:type="dxa"/>
            <w:tcBorders>
              <w:top w:val="single" w:sz="8" w:space="0" w:color="000000"/>
              <w:left w:val="single" w:sz="8" w:space="0" w:color="000000"/>
              <w:bottom w:val="single" w:sz="8" w:space="0" w:color="000000"/>
              <w:right w:val="single" w:sz="8" w:space="0" w:color="000000"/>
            </w:tcBorders>
            <w:shd w:val="clear" w:color="auto" w:fill="auto"/>
          </w:tcPr>
          <w:p w:rsidR="00F009E7" w:rsidRPr="00E7327C" w:rsidRDefault="00F009E7" w:rsidP="00835079">
            <w:pPr>
              <w:jc w:val="center"/>
              <w:rPr>
                <w:rFonts w:eastAsia="Calibri"/>
                <w:sz w:val="18"/>
                <w:szCs w:val="18"/>
              </w:rPr>
            </w:pPr>
            <w:r w:rsidRPr="00E7327C">
              <w:rPr>
                <w:rFonts w:eastAsia="Calibri"/>
                <w:sz w:val="18"/>
                <w:szCs w:val="18"/>
              </w:rPr>
              <w:t>29.592</w:t>
            </w:r>
          </w:p>
        </w:tc>
        <w:tc>
          <w:tcPr>
            <w:tcW w:w="1201" w:type="dxa"/>
            <w:tcBorders>
              <w:top w:val="single" w:sz="8" w:space="0" w:color="000000"/>
              <w:left w:val="single" w:sz="8" w:space="0" w:color="000000"/>
              <w:bottom w:val="single" w:sz="8" w:space="0" w:color="000000"/>
            </w:tcBorders>
            <w:shd w:val="clear" w:color="auto" w:fill="auto"/>
          </w:tcPr>
          <w:p w:rsidR="00F009E7" w:rsidRPr="00E7327C" w:rsidRDefault="00F009E7" w:rsidP="00835079">
            <w:pPr>
              <w:jc w:val="center"/>
              <w:rPr>
                <w:rFonts w:eastAsia="Calibri"/>
                <w:sz w:val="18"/>
                <w:szCs w:val="18"/>
              </w:rPr>
            </w:pPr>
            <w:r w:rsidRPr="00E7327C">
              <w:rPr>
                <w:rFonts w:eastAsia="Calibri"/>
                <w:sz w:val="18"/>
                <w:szCs w:val="18"/>
              </w:rPr>
              <w:t>813.780</w:t>
            </w:r>
          </w:p>
        </w:tc>
      </w:tr>
      <w:tr w:rsidR="00FA6CAC" w:rsidRPr="00E7327C" w:rsidTr="00FA6CAC">
        <w:trPr>
          <w:jc w:val="center"/>
        </w:trPr>
        <w:tc>
          <w:tcPr>
            <w:tcW w:w="1468" w:type="dxa"/>
            <w:gridSpan w:val="2"/>
            <w:tcBorders>
              <w:top w:val="single" w:sz="8" w:space="0" w:color="000000"/>
              <w:right w:val="single" w:sz="8" w:space="0" w:color="000000"/>
            </w:tcBorders>
            <w:shd w:val="clear" w:color="auto" w:fill="auto"/>
          </w:tcPr>
          <w:p w:rsidR="00FA6CAC" w:rsidRPr="00E7327C" w:rsidRDefault="00FA6CAC" w:rsidP="00835079">
            <w:pPr>
              <w:jc w:val="center"/>
              <w:rPr>
                <w:rFonts w:eastAsia="Calibri"/>
                <w:sz w:val="18"/>
                <w:szCs w:val="18"/>
              </w:rPr>
            </w:pPr>
          </w:p>
        </w:tc>
        <w:tc>
          <w:tcPr>
            <w:tcW w:w="1067" w:type="dxa"/>
            <w:tcBorders>
              <w:top w:val="single" w:sz="8" w:space="0" w:color="000000"/>
              <w:left w:val="single" w:sz="8" w:space="0" w:color="000000"/>
              <w:bottom w:val="single" w:sz="8" w:space="0" w:color="000000"/>
              <w:right w:val="single" w:sz="8" w:space="0" w:color="000000"/>
            </w:tcBorders>
            <w:shd w:val="clear" w:color="auto" w:fill="auto"/>
          </w:tcPr>
          <w:p w:rsidR="00FA6CAC" w:rsidRPr="00E7327C" w:rsidRDefault="00FA6CAC" w:rsidP="00835079">
            <w:pPr>
              <w:jc w:val="center"/>
              <w:rPr>
                <w:rFonts w:eastAsia="Calibri"/>
                <w:sz w:val="18"/>
                <w:szCs w:val="18"/>
              </w:rPr>
            </w:pPr>
            <w:r w:rsidRPr="00E7327C">
              <w:rPr>
                <w:rFonts w:eastAsia="Calibri"/>
                <w:sz w:val="18"/>
                <w:szCs w:val="18"/>
              </w:rPr>
              <w:t>Total</w:t>
            </w:r>
          </w:p>
        </w:tc>
        <w:tc>
          <w:tcPr>
            <w:tcW w:w="898" w:type="dxa"/>
            <w:tcBorders>
              <w:top w:val="single" w:sz="8" w:space="0" w:color="000000"/>
              <w:left w:val="single" w:sz="8" w:space="0" w:color="000000"/>
              <w:bottom w:val="single" w:sz="8" w:space="0" w:color="000000"/>
              <w:right w:val="single" w:sz="8" w:space="0" w:color="000000"/>
            </w:tcBorders>
            <w:shd w:val="clear" w:color="auto" w:fill="auto"/>
          </w:tcPr>
          <w:p w:rsidR="00FA6CAC" w:rsidRPr="00E7327C" w:rsidRDefault="00FA6CAC" w:rsidP="00835079">
            <w:pPr>
              <w:jc w:val="center"/>
              <w:rPr>
                <w:rFonts w:eastAsia="Calibri"/>
                <w:sz w:val="18"/>
                <w:szCs w:val="18"/>
              </w:rPr>
            </w:pPr>
            <w:r w:rsidRPr="00E7327C">
              <w:rPr>
                <w:rFonts w:eastAsia="Calibri"/>
                <w:sz w:val="18"/>
                <w:szCs w:val="18"/>
              </w:rPr>
              <w:t>33.755</w:t>
            </w:r>
          </w:p>
        </w:tc>
        <w:tc>
          <w:tcPr>
            <w:tcW w:w="1201" w:type="dxa"/>
            <w:tcBorders>
              <w:top w:val="single" w:sz="8" w:space="0" w:color="000000"/>
              <w:left w:val="single" w:sz="8" w:space="0" w:color="000000"/>
              <w:bottom w:val="single" w:sz="8" w:space="0" w:color="000000"/>
            </w:tcBorders>
            <w:shd w:val="clear" w:color="auto" w:fill="auto"/>
          </w:tcPr>
          <w:p w:rsidR="00FA6CAC" w:rsidRPr="00E7327C" w:rsidRDefault="00FA6CAC" w:rsidP="00835079">
            <w:pPr>
              <w:jc w:val="center"/>
              <w:rPr>
                <w:rFonts w:eastAsia="Calibri"/>
                <w:sz w:val="18"/>
                <w:szCs w:val="18"/>
              </w:rPr>
            </w:pPr>
            <w:r w:rsidRPr="00E7327C">
              <w:rPr>
                <w:rFonts w:eastAsia="Calibri"/>
                <w:sz w:val="18"/>
                <w:szCs w:val="18"/>
              </w:rPr>
              <w:t>928.262</w:t>
            </w:r>
          </w:p>
        </w:tc>
      </w:tr>
    </w:tbl>
    <w:p w:rsidR="00C66EAE" w:rsidRPr="005206EF" w:rsidRDefault="00C66EAE" w:rsidP="00C66EAE">
      <w:pPr>
        <w:widowControl/>
        <w:rPr>
          <w:rFonts w:eastAsia="Times New Roman"/>
          <w:snapToGrid/>
          <w:sz w:val="18"/>
          <w:szCs w:val="18"/>
          <w:lang w:val="en"/>
        </w:rPr>
      </w:pPr>
      <w:r w:rsidRPr="005206EF">
        <w:rPr>
          <w:rFonts w:eastAsia="Times New Roman"/>
          <w:snapToGrid/>
          <w:sz w:val="18"/>
          <w:szCs w:val="18"/>
          <w:lang w:val="en"/>
        </w:rPr>
        <w:t>Note:</w:t>
      </w:r>
      <w:r w:rsidRPr="005206EF">
        <w:rPr>
          <w:rFonts w:eastAsia="Times New Roman"/>
          <w:snapToGrid/>
          <w:sz w:val="18"/>
          <w:szCs w:val="18"/>
          <w:lang w:val="en"/>
        </w:rPr>
        <w:br/>
        <w:t>(a) A c</w:t>
      </w:r>
      <w:r>
        <w:rPr>
          <w:rFonts w:eastAsia="Times New Roman"/>
          <w:snapToGrid/>
          <w:sz w:val="18"/>
          <w:szCs w:val="18"/>
          <w:lang w:val="en"/>
        </w:rPr>
        <w:t>attle</w:t>
      </w:r>
      <w:r w:rsidR="00F25C08">
        <w:rPr>
          <w:rFonts w:eastAsia="Times New Roman"/>
          <w:snapToGrid/>
          <w:sz w:val="18"/>
          <w:szCs w:val="18"/>
          <w:lang w:val="en"/>
        </w:rPr>
        <w:t xml:space="preserve"> can produce 25-30 kg of manure/</w:t>
      </w:r>
      <w:r w:rsidRPr="005206EF">
        <w:rPr>
          <w:rFonts w:eastAsia="Times New Roman"/>
          <w:snapToGrid/>
          <w:sz w:val="18"/>
          <w:szCs w:val="18"/>
          <w:lang w:val="en"/>
        </w:rPr>
        <w:t xml:space="preserve">day. </w:t>
      </w:r>
      <w:r w:rsidR="00F25C08">
        <w:rPr>
          <w:rFonts w:eastAsia="Times New Roman"/>
          <w:snapToGrid/>
          <w:sz w:val="18"/>
          <w:szCs w:val="18"/>
          <w:lang w:val="en"/>
        </w:rPr>
        <w:t>In the calculation used 27.5 kg/</w:t>
      </w:r>
      <w:r w:rsidRPr="005206EF">
        <w:rPr>
          <w:rFonts w:eastAsia="Times New Roman"/>
          <w:snapToGrid/>
          <w:sz w:val="18"/>
          <w:szCs w:val="18"/>
          <w:lang w:val="en"/>
        </w:rPr>
        <w:t>day.</w:t>
      </w:r>
    </w:p>
    <w:p w:rsidR="00E7327C" w:rsidRDefault="00E7327C" w:rsidP="00E7327C">
      <w:pPr>
        <w:jc w:val="both"/>
        <w:rPr>
          <w:sz w:val="18"/>
          <w:szCs w:val="18"/>
        </w:rPr>
      </w:pPr>
    </w:p>
    <w:p w:rsidR="009F20A3" w:rsidRPr="009F20A3" w:rsidRDefault="00F009E7" w:rsidP="00E534A4">
      <w:pPr>
        <w:rPr>
          <w:b/>
          <w:sz w:val="18"/>
          <w:szCs w:val="18"/>
        </w:rPr>
      </w:pPr>
      <w:r>
        <w:rPr>
          <w:b/>
          <w:sz w:val="18"/>
          <w:szCs w:val="18"/>
        </w:rPr>
        <w:t>2</w:t>
      </w:r>
      <w:r w:rsidR="009F20A3" w:rsidRPr="009F20A3">
        <w:rPr>
          <w:b/>
          <w:sz w:val="18"/>
          <w:szCs w:val="18"/>
        </w:rPr>
        <w:t>.</w:t>
      </w:r>
      <w:r>
        <w:rPr>
          <w:b/>
          <w:sz w:val="18"/>
          <w:szCs w:val="18"/>
        </w:rPr>
        <w:t>5</w:t>
      </w:r>
      <w:r w:rsidR="009F20A3" w:rsidRPr="009F20A3">
        <w:rPr>
          <w:b/>
          <w:sz w:val="18"/>
          <w:szCs w:val="18"/>
        </w:rPr>
        <w:t xml:space="preserve">.3   Population Growth Data </w:t>
      </w:r>
    </w:p>
    <w:p w:rsidR="009F20A3" w:rsidRPr="009F20A3" w:rsidRDefault="009F20A3" w:rsidP="00E534A4">
      <w:pPr>
        <w:jc w:val="both"/>
        <w:rPr>
          <w:rStyle w:val="tlid-translation"/>
          <w:sz w:val="18"/>
          <w:szCs w:val="18"/>
          <w:lang w:val="en"/>
        </w:rPr>
      </w:pPr>
      <w:r w:rsidRPr="009F20A3">
        <w:rPr>
          <w:rStyle w:val="tlid-translation"/>
          <w:sz w:val="18"/>
          <w:szCs w:val="18"/>
          <w:lang w:val="en"/>
        </w:rPr>
        <w:t xml:space="preserve">Population and family growth in Sumedang Regency is shown in Table </w:t>
      </w:r>
      <w:r w:rsidR="00F009E7">
        <w:rPr>
          <w:rStyle w:val="tlid-translation"/>
          <w:sz w:val="18"/>
          <w:szCs w:val="18"/>
          <w:lang w:val="en"/>
        </w:rPr>
        <w:t>2</w:t>
      </w:r>
      <w:r w:rsidRPr="009F20A3">
        <w:rPr>
          <w:rStyle w:val="tlid-translation"/>
          <w:sz w:val="18"/>
          <w:szCs w:val="18"/>
          <w:lang w:val="en"/>
        </w:rPr>
        <w:t xml:space="preserve">.6. and Table </w:t>
      </w:r>
      <w:r w:rsidR="00F009E7">
        <w:rPr>
          <w:rStyle w:val="tlid-translation"/>
          <w:sz w:val="18"/>
          <w:szCs w:val="18"/>
          <w:lang w:val="en"/>
        </w:rPr>
        <w:t>2</w:t>
      </w:r>
      <w:r w:rsidRPr="009F20A3">
        <w:rPr>
          <w:rStyle w:val="tlid-translation"/>
          <w:sz w:val="18"/>
          <w:szCs w:val="18"/>
          <w:lang w:val="en"/>
        </w:rPr>
        <w:t>.7.</w:t>
      </w:r>
    </w:p>
    <w:p w:rsidR="009F20A3" w:rsidRPr="002016EC" w:rsidRDefault="009F20A3" w:rsidP="009F20A3">
      <w:pPr>
        <w:ind w:left="420"/>
        <w:jc w:val="both"/>
      </w:pPr>
    </w:p>
    <w:p w:rsidR="009F20A3" w:rsidRPr="00F009E7" w:rsidRDefault="009F20A3" w:rsidP="009F20A3">
      <w:pPr>
        <w:jc w:val="center"/>
        <w:rPr>
          <w:sz w:val="18"/>
          <w:szCs w:val="18"/>
        </w:rPr>
      </w:pPr>
      <w:r w:rsidRPr="00F009E7">
        <w:rPr>
          <w:sz w:val="18"/>
          <w:szCs w:val="18"/>
        </w:rPr>
        <w:t>Table</w:t>
      </w:r>
      <w:r w:rsidR="00F009E7" w:rsidRPr="00F009E7">
        <w:rPr>
          <w:sz w:val="18"/>
          <w:szCs w:val="18"/>
        </w:rPr>
        <w:t xml:space="preserve"> 2</w:t>
      </w:r>
      <w:r w:rsidRPr="00F009E7">
        <w:rPr>
          <w:sz w:val="18"/>
          <w:szCs w:val="18"/>
        </w:rPr>
        <w:t xml:space="preserve">.6. </w:t>
      </w:r>
    </w:p>
    <w:p w:rsidR="009F20A3" w:rsidRPr="00F009E7" w:rsidRDefault="009F20A3" w:rsidP="009F20A3">
      <w:pPr>
        <w:jc w:val="center"/>
        <w:rPr>
          <w:sz w:val="18"/>
          <w:szCs w:val="18"/>
        </w:rPr>
      </w:pPr>
      <w:r w:rsidRPr="00F009E7">
        <w:rPr>
          <w:sz w:val="18"/>
          <w:szCs w:val="18"/>
        </w:rPr>
        <w:t>Sumedang Regency Population Growth Data 2018-2025</w:t>
      </w:r>
    </w:p>
    <w:tbl>
      <w:tblPr>
        <w:tblW w:w="4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542"/>
        <w:gridCol w:w="542"/>
        <w:gridCol w:w="542"/>
        <w:gridCol w:w="542"/>
        <w:gridCol w:w="542"/>
        <w:gridCol w:w="542"/>
        <w:gridCol w:w="542"/>
        <w:gridCol w:w="542"/>
      </w:tblGrid>
      <w:tr w:rsidR="00FE5FA2" w:rsidRPr="00FE5FA2" w:rsidTr="00FE5FA2">
        <w:tc>
          <w:tcPr>
            <w:tcW w:w="584" w:type="dxa"/>
            <w:shd w:val="clear" w:color="auto" w:fill="auto"/>
          </w:tcPr>
          <w:p w:rsidR="009F20A3" w:rsidRPr="00FE5FA2" w:rsidRDefault="009F20A3" w:rsidP="00FE5FA2">
            <w:pPr>
              <w:ind w:left="-112" w:right="-102"/>
              <w:jc w:val="center"/>
              <w:rPr>
                <w:rFonts w:asciiTheme="majorBidi" w:eastAsia="Calibri" w:hAnsiTheme="majorBidi" w:cstheme="majorBidi"/>
                <w:sz w:val="12"/>
                <w:szCs w:val="12"/>
              </w:rPr>
            </w:pPr>
            <w:r w:rsidRPr="00FE5FA2">
              <w:rPr>
                <w:rFonts w:asciiTheme="majorBidi" w:eastAsia="Calibri" w:hAnsiTheme="majorBidi" w:cstheme="majorBidi"/>
                <w:sz w:val="12"/>
                <w:szCs w:val="12"/>
              </w:rPr>
              <w:t>2017</w:t>
            </w:r>
          </w:p>
        </w:tc>
        <w:tc>
          <w:tcPr>
            <w:tcW w:w="542" w:type="dxa"/>
            <w:shd w:val="clear" w:color="auto" w:fill="auto"/>
            <w:vAlign w:val="center"/>
          </w:tcPr>
          <w:p w:rsidR="009F20A3" w:rsidRPr="00FE5FA2" w:rsidRDefault="009F20A3" w:rsidP="00FE5FA2">
            <w:pPr>
              <w:ind w:left="-112" w:right="-102"/>
              <w:jc w:val="center"/>
              <w:rPr>
                <w:rFonts w:asciiTheme="majorBidi" w:eastAsia="Calibri" w:hAnsiTheme="majorBidi" w:cstheme="majorBidi"/>
                <w:sz w:val="12"/>
                <w:szCs w:val="12"/>
              </w:rPr>
            </w:pPr>
            <w:r w:rsidRPr="00FE5FA2">
              <w:rPr>
                <w:rFonts w:asciiTheme="majorBidi" w:eastAsia="Calibri" w:hAnsiTheme="majorBidi" w:cstheme="majorBidi"/>
                <w:sz w:val="12"/>
                <w:szCs w:val="12"/>
              </w:rPr>
              <w:t>2018</w:t>
            </w:r>
          </w:p>
        </w:tc>
        <w:tc>
          <w:tcPr>
            <w:tcW w:w="542" w:type="dxa"/>
            <w:shd w:val="clear" w:color="auto" w:fill="auto"/>
            <w:vAlign w:val="center"/>
          </w:tcPr>
          <w:p w:rsidR="009F20A3" w:rsidRPr="00FE5FA2" w:rsidRDefault="009F20A3" w:rsidP="00FE5FA2">
            <w:pPr>
              <w:ind w:left="-112" w:right="-102"/>
              <w:jc w:val="center"/>
              <w:rPr>
                <w:rFonts w:asciiTheme="majorBidi" w:eastAsia="Calibri" w:hAnsiTheme="majorBidi" w:cstheme="majorBidi"/>
                <w:sz w:val="12"/>
                <w:szCs w:val="12"/>
              </w:rPr>
            </w:pPr>
            <w:r w:rsidRPr="00FE5FA2">
              <w:rPr>
                <w:rFonts w:asciiTheme="majorBidi" w:eastAsia="Calibri" w:hAnsiTheme="majorBidi" w:cstheme="majorBidi"/>
                <w:sz w:val="12"/>
                <w:szCs w:val="12"/>
              </w:rPr>
              <w:t>2019</w:t>
            </w:r>
          </w:p>
        </w:tc>
        <w:tc>
          <w:tcPr>
            <w:tcW w:w="542" w:type="dxa"/>
            <w:shd w:val="clear" w:color="auto" w:fill="auto"/>
            <w:vAlign w:val="center"/>
          </w:tcPr>
          <w:p w:rsidR="009F20A3" w:rsidRPr="00FE5FA2" w:rsidRDefault="009F20A3" w:rsidP="00FE5FA2">
            <w:pPr>
              <w:ind w:left="-112" w:right="-102"/>
              <w:jc w:val="center"/>
              <w:rPr>
                <w:rFonts w:asciiTheme="majorBidi" w:eastAsia="Calibri" w:hAnsiTheme="majorBidi" w:cstheme="majorBidi"/>
                <w:sz w:val="12"/>
                <w:szCs w:val="12"/>
              </w:rPr>
            </w:pPr>
            <w:r w:rsidRPr="00FE5FA2">
              <w:rPr>
                <w:rFonts w:asciiTheme="majorBidi" w:eastAsia="Calibri" w:hAnsiTheme="majorBidi" w:cstheme="majorBidi"/>
                <w:sz w:val="12"/>
                <w:szCs w:val="12"/>
              </w:rPr>
              <w:t>2020</w:t>
            </w:r>
          </w:p>
        </w:tc>
        <w:tc>
          <w:tcPr>
            <w:tcW w:w="542" w:type="dxa"/>
            <w:shd w:val="clear" w:color="auto" w:fill="auto"/>
            <w:vAlign w:val="center"/>
          </w:tcPr>
          <w:p w:rsidR="009F20A3" w:rsidRPr="00FE5FA2" w:rsidRDefault="009F20A3" w:rsidP="00FE5FA2">
            <w:pPr>
              <w:ind w:left="-112" w:right="-102"/>
              <w:jc w:val="center"/>
              <w:rPr>
                <w:rFonts w:asciiTheme="majorBidi" w:eastAsia="Calibri" w:hAnsiTheme="majorBidi" w:cstheme="majorBidi"/>
                <w:sz w:val="12"/>
                <w:szCs w:val="12"/>
              </w:rPr>
            </w:pPr>
            <w:r w:rsidRPr="00FE5FA2">
              <w:rPr>
                <w:rFonts w:asciiTheme="majorBidi" w:eastAsia="Calibri" w:hAnsiTheme="majorBidi" w:cstheme="majorBidi"/>
                <w:sz w:val="12"/>
                <w:szCs w:val="12"/>
              </w:rPr>
              <w:t>2021</w:t>
            </w:r>
          </w:p>
        </w:tc>
        <w:tc>
          <w:tcPr>
            <w:tcW w:w="542" w:type="dxa"/>
            <w:shd w:val="clear" w:color="auto" w:fill="auto"/>
            <w:vAlign w:val="center"/>
          </w:tcPr>
          <w:p w:rsidR="009F20A3" w:rsidRPr="00FE5FA2" w:rsidRDefault="009F20A3" w:rsidP="00FE5FA2">
            <w:pPr>
              <w:ind w:left="-112" w:right="-102"/>
              <w:jc w:val="center"/>
              <w:rPr>
                <w:rFonts w:asciiTheme="majorBidi" w:eastAsia="Calibri" w:hAnsiTheme="majorBidi" w:cstheme="majorBidi"/>
                <w:sz w:val="12"/>
                <w:szCs w:val="12"/>
              </w:rPr>
            </w:pPr>
            <w:r w:rsidRPr="00FE5FA2">
              <w:rPr>
                <w:rFonts w:asciiTheme="majorBidi" w:eastAsia="Calibri" w:hAnsiTheme="majorBidi" w:cstheme="majorBidi"/>
                <w:sz w:val="12"/>
                <w:szCs w:val="12"/>
              </w:rPr>
              <w:t>2022</w:t>
            </w:r>
          </w:p>
        </w:tc>
        <w:tc>
          <w:tcPr>
            <w:tcW w:w="542" w:type="dxa"/>
            <w:shd w:val="clear" w:color="auto" w:fill="auto"/>
            <w:vAlign w:val="center"/>
          </w:tcPr>
          <w:p w:rsidR="009F20A3" w:rsidRPr="00FE5FA2" w:rsidRDefault="009F20A3" w:rsidP="00FE5FA2">
            <w:pPr>
              <w:ind w:left="-112" w:right="-102"/>
              <w:jc w:val="center"/>
              <w:rPr>
                <w:rFonts w:asciiTheme="majorBidi" w:eastAsia="Calibri" w:hAnsiTheme="majorBidi" w:cstheme="majorBidi"/>
                <w:sz w:val="12"/>
                <w:szCs w:val="12"/>
              </w:rPr>
            </w:pPr>
            <w:r w:rsidRPr="00FE5FA2">
              <w:rPr>
                <w:rFonts w:asciiTheme="majorBidi" w:eastAsia="Calibri" w:hAnsiTheme="majorBidi" w:cstheme="majorBidi"/>
                <w:sz w:val="12"/>
                <w:szCs w:val="12"/>
              </w:rPr>
              <w:t>2023</w:t>
            </w:r>
          </w:p>
        </w:tc>
        <w:tc>
          <w:tcPr>
            <w:tcW w:w="542" w:type="dxa"/>
            <w:shd w:val="clear" w:color="auto" w:fill="auto"/>
            <w:vAlign w:val="center"/>
          </w:tcPr>
          <w:p w:rsidR="009F20A3" w:rsidRPr="00FE5FA2" w:rsidRDefault="009F20A3" w:rsidP="00FE5FA2">
            <w:pPr>
              <w:ind w:left="-112" w:right="-102"/>
              <w:jc w:val="center"/>
              <w:rPr>
                <w:rFonts w:asciiTheme="majorBidi" w:eastAsia="Calibri" w:hAnsiTheme="majorBidi" w:cstheme="majorBidi"/>
                <w:sz w:val="12"/>
                <w:szCs w:val="12"/>
                <w:lang w:val="en-US"/>
              </w:rPr>
            </w:pPr>
            <w:r w:rsidRPr="00FE5FA2">
              <w:rPr>
                <w:rFonts w:asciiTheme="majorBidi" w:eastAsia="Calibri" w:hAnsiTheme="majorBidi" w:cstheme="majorBidi"/>
                <w:sz w:val="12"/>
                <w:szCs w:val="12"/>
              </w:rPr>
              <w:t>2024</w:t>
            </w:r>
          </w:p>
        </w:tc>
        <w:tc>
          <w:tcPr>
            <w:tcW w:w="542" w:type="dxa"/>
            <w:shd w:val="clear" w:color="auto" w:fill="auto"/>
            <w:vAlign w:val="center"/>
          </w:tcPr>
          <w:p w:rsidR="009F20A3" w:rsidRPr="00FE5FA2" w:rsidRDefault="009F20A3" w:rsidP="00FE5FA2">
            <w:pPr>
              <w:ind w:left="-112" w:right="-102"/>
              <w:jc w:val="center"/>
              <w:rPr>
                <w:rFonts w:asciiTheme="majorBidi" w:eastAsia="Calibri" w:hAnsiTheme="majorBidi" w:cstheme="majorBidi"/>
                <w:sz w:val="12"/>
                <w:szCs w:val="12"/>
              </w:rPr>
            </w:pPr>
            <w:r w:rsidRPr="00FE5FA2">
              <w:rPr>
                <w:rFonts w:asciiTheme="majorBidi" w:eastAsia="Calibri" w:hAnsiTheme="majorBidi" w:cstheme="majorBidi"/>
                <w:sz w:val="12"/>
                <w:szCs w:val="12"/>
              </w:rPr>
              <w:t>2025</w:t>
            </w:r>
          </w:p>
        </w:tc>
      </w:tr>
      <w:tr w:rsidR="009F20A3" w:rsidRPr="00FE5FA2" w:rsidTr="00FE5FA2">
        <w:tc>
          <w:tcPr>
            <w:tcW w:w="584" w:type="dxa"/>
            <w:shd w:val="clear" w:color="auto" w:fill="auto"/>
          </w:tcPr>
          <w:p w:rsidR="009F20A3" w:rsidRPr="00FE5FA2" w:rsidRDefault="009F20A3" w:rsidP="00FE5FA2">
            <w:pPr>
              <w:ind w:left="-112" w:right="-102"/>
              <w:jc w:val="center"/>
              <w:rPr>
                <w:rFonts w:asciiTheme="majorBidi" w:eastAsia="Calibri" w:hAnsiTheme="majorBidi" w:cstheme="majorBidi"/>
                <w:sz w:val="12"/>
                <w:szCs w:val="12"/>
              </w:rPr>
            </w:pPr>
            <w:r w:rsidRPr="00FE5FA2">
              <w:rPr>
                <w:rFonts w:asciiTheme="majorBidi" w:eastAsia="Calibri" w:hAnsiTheme="majorBidi" w:cstheme="majorBidi"/>
                <w:sz w:val="12"/>
                <w:szCs w:val="12"/>
              </w:rPr>
              <w:t>1.146.435</w:t>
            </w:r>
          </w:p>
        </w:tc>
        <w:tc>
          <w:tcPr>
            <w:tcW w:w="542" w:type="dxa"/>
            <w:shd w:val="clear" w:color="auto" w:fill="auto"/>
            <w:vAlign w:val="center"/>
          </w:tcPr>
          <w:p w:rsidR="009F20A3" w:rsidRPr="00FE5FA2" w:rsidRDefault="009F20A3" w:rsidP="00FE5FA2">
            <w:pPr>
              <w:ind w:left="-112" w:right="-102"/>
              <w:jc w:val="center"/>
              <w:rPr>
                <w:rFonts w:asciiTheme="majorBidi" w:eastAsia="Calibri" w:hAnsiTheme="majorBidi" w:cstheme="majorBidi"/>
                <w:sz w:val="12"/>
                <w:szCs w:val="12"/>
              </w:rPr>
            </w:pPr>
            <w:r w:rsidRPr="00FE5FA2">
              <w:rPr>
                <w:rFonts w:asciiTheme="majorBidi" w:eastAsia="Calibri" w:hAnsiTheme="majorBidi" w:cstheme="majorBidi"/>
                <w:sz w:val="12"/>
                <w:szCs w:val="12"/>
              </w:rPr>
              <w:t>1.150.791</w:t>
            </w:r>
          </w:p>
        </w:tc>
        <w:tc>
          <w:tcPr>
            <w:tcW w:w="542" w:type="dxa"/>
            <w:shd w:val="clear" w:color="auto" w:fill="auto"/>
            <w:vAlign w:val="center"/>
          </w:tcPr>
          <w:p w:rsidR="009F20A3" w:rsidRPr="00FE5FA2" w:rsidRDefault="009F20A3" w:rsidP="00FE5FA2">
            <w:pPr>
              <w:ind w:left="-112" w:right="-102"/>
              <w:jc w:val="center"/>
              <w:rPr>
                <w:rFonts w:asciiTheme="majorBidi" w:eastAsia="Calibri" w:hAnsiTheme="majorBidi" w:cstheme="majorBidi"/>
                <w:sz w:val="12"/>
                <w:szCs w:val="12"/>
              </w:rPr>
            </w:pPr>
            <w:r w:rsidRPr="00FE5FA2">
              <w:rPr>
                <w:rFonts w:asciiTheme="majorBidi" w:eastAsia="Calibri" w:hAnsiTheme="majorBidi" w:cstheme="majorBidi"/>
                <w:sz w:val="12"/>
                <w:szCs w:val="12"/>
              </w:rPr>
              <w:t>1.155.164</w:t>
            </w:r>
          </w:p>
        </w:tc>
        <w:tc>
          <w:tcPr>
            <w:tcW w:w="542" w:type="dxa"/>
            <w:shd w:val="clear" w:color="auto" w:fill="auto"/>
            <w:vAlign w:val="center"/>
          </w:tcPr>
          <w:p w:rsidR="009F20A3" w:rsidRPr="00FE5FA2" w:rsidRDefault="009F20A3" w:rsidP="00FE5FA2">
            <w:pPr>
              <w:ind w:left="-112" w:right="-102"/>
              <w:jc w:val="center"/>
              <w:rPr>
                <w:rFonts w:asciiTheme="majorBidi" w:eastAsia="Calibri" w:hAnsiTheme="majorBidi" w:cstheme="majorBidi"/>
                <w:sz w:val="12"/>
                <w:szCs w:val="12"/>
              </w:rPr>
            </w:pPr>
            <w:r w:rsidRPr="00FE5FA2">
              <w:rPr>
                <w:rFonts w:asciiTheme="majorBidi" w:eastAsia="Calibri" w:hAnsiTheme="majorBidi" w:cstheme="majorBidi"/>
                <w:sz w:val="12"/>
                <w:szCs w:val="12"/>
              </w:rPr>
              <w:t>1.159.554</w:t>
            </w:r>
          </w:p>
        </w:tc>
        <w:tc>
          <w:tcPr>
            <w:tcW w:w="542" w:type="dxa"/>
            <w:shd w:val="clear" w:color="auto" w:fill="auto"/>
            <w:vAlign w:val="center"/>
          </w:tcPr>
          <w:p w:rsidR="009F20A3" w:rsidRPr="00FE5FA2" w:rsidRDefault="009F20A3" w:rsidP="00FE5FA2">
            <w:pPr>
              <w:ind w:left="-112" w:right="-102"/>
              <w:jc w:val="center"/>
              <w:rPr>
                <w:rFonts w:asciiTheme="majorBidi" w:eastAsia="Calibri" w:hAnsiTheme="majorBidi" w:cstheme="majorBidi"/>
                <w:sz w:val="12"/>
                <w:szCs w:val="12"/>
              </w:rPr>
            </w:pPr>
            <w:r w:rsidRPr="00FE5FA2">
              <w:rPr>
                <w:rFonts w:asciiTheme="majorBidi" w:eastAsia="Calibri" w:hAnsiTheme="majorBidi" w:cstheme="majorBidi"/>
                <w:sz w:val="12"/>
                <w:szCs w:val="12"/>
              </w:rPr>
              <w:t>1.163.960</w:t>
            </w:r>
          </w:p>
        </w:tc>
        <w:tc>
          <w:tcPr>
            <w:tcW w:w="542" w:type="dxa"/>
            <w:shd w:val="clear" w:color="auto" w:fill="auto"/>
            <w:vAlign w:val="center"/>
          </w:tcPr>
          <w:p w:rsidR="009F20A3" w:rsidRPr="00FE5FA2" w:rsidRDefault="009F20A3" w:rsidP="00FE5FA2">
            <w:pPr>
              <w:ind w:left="-112" w:right="-102"/>
              <w:jc w:val="center"/>
              <w:rPr>
                <w:rFonts w:asciiTheme="majorBidi" w:eastAsia="Calibri" w:hAnsiTheme="majorBidi" w:cstheme="majorBidi"/>
                <w:sz w:val="12"/>
                <w:szCs w:val="12"/>
              </w:rPr>
            </w:pPr>
            <w:r w:rsidRPr="00FE5FA2">
              <w:rPr>
                <w:rFonts w:asciiTheme="majorBidi" w:eastAsia="Calibri" w:hAnsiTheme="majorBidi" w:cstheme="majorBidi"/>
                <w:sz w:val="12"/>
                <w:szCs w:val="12"/>
              </w:rPr>
              <w:t>1.168.383</w:t>
            </w:r>
          </w:p>
        </w:tc>
        <w:tc>
          <w:tcPr>
            <w:tcW w:w="542" w:type="dxa"/>
            <w:shd w:val="clear" w:color="auto" w:fill="auto"/>
            <w:vAlign w:val="center"/>
          </w:tcPr>
          <w:p w:rsidR="009F20A3" w:rsidRPr="00FE5FA2" w:rsidRDefault="009F20A3" w:rsidP="00FE5FA2">
            <w:pPr>
              <w:ind w:left="-112" w:right="-102"/>
              <w:jc w:val="center"/>
              <w:rPr>
                <w:rFonts w:asciiTheme="majorBidi" w:eastAsia="Calibri" w:hAnsiTheme="majorBidi" w:cstheme="majorBidi"/>
                <w:sz w:val="12"/>
                <w:szCs w:val="12"/>
              </w:rPr>
            </w:pPr>
            <w:r w:rsidRPr="00FE5FA2">
              <w:rPr>
                <w:rFonts w:asciiTheme="majorBidi" w:eastAsia="Calibri" w:hAnsiTheme="majorBidi" w:cstheme="majorBidi"/>
                <w:sz w:val="12"/>
                <w:szCs w:val="12"/>
              </w:rPr>
              <w:t>1.172.823</w:t>
            </w:r>
          </w:p>
        </w:tc>
        <w:tc>
          <w:tcPr>
            <w:tcW w:w="542" w:type="dxa"/>
            <w:shd w:val="clear" w:color="auto" w:fill="auto"/>
            <w:vAlign w:val="center"/>
          </w:tcPr>
          <w:p w:rsidR="009F20A3" w:rsidRPr="00FE5FA2" w:rsidRDefault="009F20A3" w:rsidP="00FE5FA2">
            <w:pPr>
              <w:ind w:left="-112" w:right="-102"/>
              <w:jc w:val="center"/>
              <w:rPr>
                <w:rFonts w:asciiTheme="majorBidi" w:eastAsia="Calibri" w:hAnsiTheme="majorBidi" w:cstheme="majorBidi"/>
                <w:sz w:val="12"/>
                <w:szCs w:val="12"/>
              </w:rPr>
            </w:pPr>
            <w:r w:rsidRPr="00FE5FA2">
              <w:rPr>
                <w:rFonts w:asciiTheme="majorBidi" w:eastAsia="Calibri" w:hAnsiTheme="majorBidi" w:cstheme="majorBidi"/>
                <w:sz w:val="12"/>
                <w:szCs w:val="12"/>
              </w:rPr>
              <w:t>1.177.280</w:t>
            </w:r>
          </w:p>
        </w:tc>
        <w:tc>
          <w:tcPr>
            <w:tcW w:w="542" w:type="dxa"/>
            <w:shd w:val="clear" w:color="auto" w:fill="auto"/>
            <w:vAlign w:val="center"/>
          </w:tcPr>
          <w:p w:rsidR="009F20A3" w:rsidRPr="00FE5FA2" w:rsidRDefault="009F20A3" w:rsidP="00FE5FA2">
            <w:pPr>
              <w:ind w:left="-112" w:right="-102"/>
              <w:jc w:val="center"/>
              <w:rPr>
                <w:rFonts w:asciiTheme="majorBidi" w:eastAsia="Calibri" w:hAnsiTheme="majorBidi" w:cstheme="majorBidi"/>
                <w:sz w:val="12"/>
                <w:szCs w:val="12"/>
              </w:rPr>
            </w:pPr>
            <w:r w:rsidRPr="00FE5FA2">
              <w:rPr>
                <w:rFonts w:asciiTheme="majorBidi" w:eastAsia="Calibri" w:hAnsiTheme="majorBidi" w:cstheme="majorBidi"/>
                <w:sz w:val="12"/>
                <w:szCs w:val="12"/>
              </w:rPr>
              <w:t>1.181.754</w:t>
            </w:r>
          </w:p>
        </w:tc>
      </w:tr>
    </w:tbl>
    <w:p w:rsidR="009F20A3" w:rsidRPr="009F20A3" w:rsidRDefault="009F20A3" w:rsidP="009F20A3">
      <w:pPr>
        <w:ind w:left="770" w:hanging="770"/>
        <w:jc w:val="both"/>
        <w:rPr>
          <w:sz w:val="18"/>
          <w:szCs w:val="18"/>
        </w:rPr>
      </w:pPr>
      <w:r w:rsidRPr="009F20A3">
        <w:rPr>
          <w:sz w:val="18"/>
          <w:szCs w:val="18"/>
        </w:rPr>
        <w:t>S</w:t>
      </w:r>
      <w:r>
        <w:rPr>
          <w:sz w:val="18"/>
          <w:szCs w:val="18"/>
        </w:rPr>
        <w:t>ource</w:t>
      </w:r>
      <w:r w:rsidRPr="009F20A3">
        <w:rPr>
          <w:sz w:val="18"/>
          <w:szCs w:val="18"/>
        </w:rPr>
        <w:t>:</w:t>
      </w:r>
      <w:r w:rsidRPr="009F20A3">
        <w:rPr>
          <w:sz w:val="18"/>
          <w:szCs w:val="18"/>
        </w:rPr>
        <w:tab/>
        <w:t>BPS</w:t>
      </w:r>
      <w:r>
        <w:rPr>
          <w:sz w:val="18"/>
          <w:szCs w:val="18"/>
        </w:rPr>
        <w:t xml:space="preserve"> Catalog</w:t>
      </w:r>
      <w:r w:rsidRPr="009F20A3">
        <w:rPr>
          <w:sz w:val="18"/>
          <w:szCs w:val="18"/>
        </w:rPr>
        <w:t>:1102001.3211,  Sumedang</w:t>
      </w:r>
      <w:r>
        <w:rPr>
          <w:sz w:val="18"/>
          <w:szCs w:val="18"/>
        </w:rPr>
        <w:t xml:space="preserve"> Regency in Figures 2018, Sumedang Regency Central Statistics Agency </w:t>
      </w:r>
      <w:r w:rsidRPr="009F20A3">
        <w:rPr>
          <w:sz w:val="18"/>
          <w:szCs w:val="18"/>
        </w:rPr>
        <w:t>[</w:t>
      </w:r>
      <w:r w:rsidR="00F009E7">
        <w:rPr>
          <w:sz w:val="18"/>
          <w:szCs w:val="18"/>
        </w:rPr>
        <w:t>2</w:t>
      </w:r>
      <w:r w:rsidR="000217BF">
        <w:rPr>
          <w:sz w:val="18"/>
          <w:szCs w:val="18"/>
        </w:rPr>
        <w:t>5</w:t>
      </w:r>
      <w:r w:rsidRPr="009F20A3">
        <w:rPr>
          <w:sz w:val="18"/>
          <w:szCs w:val="18"/>
        </w:rPr>
        <w:t>]</w:t>
      </w:r>
    </w:p>
    <w:p w:rsidR="009F20A3" w:rsidRPr="009F20A3" w:rsidRDefault="009F20A3" w:rsidP="009F20A3">
      <w:pPr>
        <w:jc w:val="both"/>
        <w:rPr>
          <w:sz w:val="18"/>
          <w:szCs w:val="18"/>
        </w:rPr>
      </w:pPr>
    </w:p>
    <w:p w:rsidR="009F20A3" w:rsidRPr="00F009E7" w:rsidRDefault="009F20A3" w:rsidP="009F20A3">
      <w:pPr>
        <w:jc w:val="center"/>
      </w:pPr>
      <w:r w:rsidRPr="00F009E7">
        <w:t xml:space="preserve">Table </w:t>
      </w:r>
      <w:r w:rsidR="00F009E7" w:rsidRPr="00F009E7">
        <w:t>2</w:t>
      </w:r>
      <w:r w:rsidRPr="00F009E7">
        <w:t xml:space="preserve">.7. </w:t>
      </w:r>
    </w:p>
    <w:p w:rsidR="009F20A3" w:rsidRPr="00F009E7" w:rsidRDefault="009F20A3" w:rsidP="009F20A3">
      <w:pPr>
        <w:jc w:val="center"/>
      </w:pPr>
      <w:r w:rsidRPr="00F009E7">
        <w:t>Sumedang Regency Family Growth Data 2018-2025</w:t>
      </w:r>
    </w:p>
    <w:tbl>
      <w:tblPr>
        <w:tblW w:w="4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516"/>
        <w:gridCol w:w="516"/>
        <w:gridCol w:w="516"/>
        <w:gridCol w:w="517"/>
        <w:gridCol w:w="517"/>
        <w:gridCol w:w="517"/>
        <w:gridCol w:w="517"/>
        <w:gridCol w:w="517"/>
      </w:tblGrid>
      <w:tr w:rsidR="009F20A3" w:rsidRPr="00FE5FA2" w:rsidTr="00FE5FA2">
        <w:tc>
          <w:tcPr>
            <w:tcW w:w="527" w:type="dxa"/>
            <w:shd w:val="clear" w:color="auto" w:fill="auto"/>
          </w:tcPr>
          <w:p w:rsidR="009F20A3" w:rsidRPr="00FE5FA2" w:rsidRDefault="009F20A3" w:rsidP="00FE5FA2">
            <w:pPr>
              <w:ind w:left="-112" w:right="-102"/>
              <w:jc w:val="center"/>
              <w:rPr>
                <w:rFonts w:asciiTheme="majorBidi" w:eastAsia="Calibri" w:hAnsiTheme="majorBidi" w:cstheme="majorBidi"/>
                <w:sz w:val="14"/>
                <w:szCs w:val="14"/>
              </w:rPr>
            </w:pPr>
            <w:r w:rsidRPr="00FE5FA2">
              <w:rPr>
                <w:rFonts w:asciiTheme="majorBidi" w:eastAsia="Calibri" w:hAnsiTheme="majorBidi" w:cstheme="majorBidi"/>
                <w:sz w:val="14"/>
                <w:szCs w:val="14"/>
              </w:rPr>
              <w:t>2017</w:t>
            </w:r>
          </w:p>
        </w:tc>
        <w:tc>
          <w:tcPr>
            <w:tcW w:w="516" w:type="dxa"/>
            <w:shd w:val="clear" w:color="auto" w:fill="auto"/>
            <w:vAlign w:val="center"/>
          </w:tcPr>
          <w:p w:rsidR="009F20A3" w:rsidRPr="00FE5FA2" w:rsidRDefault="009F20A3" w:rsidP="00FE5FA2">
            <w:pPr>
              <w:ind w:left="-112" w:right="-102"/>
              <w:jc w:val="center"/>
              <w:rPr>
                <w:rFonts w:asciiTheme="majorBidi" w:eastAsia="Calibri" w:hAnsiTheme="majorBidi" w:cstheme="majorBidi"/>
                <w:sz w:val="14"/>
                <w:szCs w:val="14"/>
              </w:rPr>
            </w:pPr>
            <w:r w:rsidRPr="00FE5FA2">
              <w:rPr>
                <w:rFonts w:asciiTheme="majorBidi" w:eastAsia="Calibri" w:hAnsiTheme="majorBidi" w:cstheme="majorBidi"/>
                <w:sz w:val="14"/>
                <w:szCs w:val="14"/>
              </w:rPr>
              <w:t>2018</w:t>
            </w:r>
          </w:p>
        </w:tc>
        <w:tc>
          <w:tcPr>
            <w:tcW w:w="516" w:type="dxa"/>
            <w:shd w:val="clear" w:color="auto" w:fill="auto"/>
            <w:vAlign w:val="center"/>
          </w:tcPr>
          <w:p w:rsidR="009F20A3" w:rsidRPr="00FE5FA2" w:rsidRDefault="009F20A3" w:rsidP="00FE5FA2">
            <w:pPr>
              <w:ind w:left="-112" w:right="-102"/>
              <w:jc w:val="center"/>
              <w:rPr>
                <w:rFonts w:asciiTheme="majorBidi" w:eastAsia="Calibri" w:hAnsiTheme="majorBidi" w:cstheme="majorBidi"/>
                <w:sz w:val="14"/>
                <w:szCs w:val="14"/>
              </w:rPr>
            </w:pPr>
            <w:r w:rsidRPr="00FE5FA2">
              <w:rPr>
                <w:rFonts w:asciiTheme="majorBidi" w:eastAsia="Calibri" w:hAnsiTheme="majorBidi" w:cstheme="majorBidi"/>
                <w:sz w:val="14"/>
                <w:szCs w:val="14"/>
              </w:rPr>
              <w:t>2019</w:t>
            </w:r>
          </w:p>
        </w:tc>
        <w:tc>
          <w:tcPr>
            <w:tcW w:w="516" w:type="dxa"/>
            <w:shd w:val="clear" w:color="auto" w:fill="auto"/>
            <w:vAlign w:val="center"/>
          </w:tcPr>
          <w:p w:rsidR="009F20A3" w:rsidRPr="00FE5FA2" w:rsidRDefault="009F20A3" w:rsidP="00FE5FA2">
            <w:pPr>
              <w:ind w:left="-112" w:right="-102"/>
              <w:jc w:val="center"/>
              <w:rPr>
                <w:rFonts w:asciiTheme="majorBidi" w:eastAsia="Calibri" w:hAnsiTheme="majorBidi" w:cstheme="majorBidi"/>
                <w:sz w:val="14"/>
                <w:szCs w:val="14"/>
              </w:rPr>
            </w:pPr>
            <w:r w:rsidRPr="00FE5FA2">
              <w:rPr>
                <w:rFonts w:asciiTheme="majorBidi" w:eastAsia="Calibri" w:hAnsiTheme="majorBidi" w:cstheme="majorBidi"/>
                <w:sz w:val="14"/>
                <w:szCs w:val="14"/>
              </w:rPr>
              <w:t>2020</w:t>
            </w:r>
          </w:p>
        </w:tc>
        <w:tc>
          <w:tcPr>
            <w:tcW w:w="517" w:type="dxa"/>
            <w:shd w:val="clear" w:color="auto" w:fill="auto"/>
            <w:vAlign w:val="center"/>
          </w:tcPr>
          <w:p w:rsidR="009F20A3" w:rsidRPr="00FE5FA2" w:rsidRDefault="009F20A3" w:rsidP="00FE5FA2">
            <w:pPr>
              <w:ind w:left="-112" w:right="-102"/>
              <w:jc w:val="center"/>
              <w:rPr>
                <w:rFonts w:asciiTheme="majorBidi" w:eastAsia="Calibri" w:hAnsiTheme="majorBidi" w:cstheme="majorBidi"/>
                <w:sz w:val="14"/>
                <w:szCs w:val="14"/>
              </w:rPr>
            </w:pPr>
            <w:r w:rsidRPr="00FE5FA2">
              <w:rPr>
                <w:rFonts w:asciiTheme="majorBidi" w:eastAsia="Calibri" w:hAnsiTheme="majorBidi" w:cstheme="majorBidi"/>
                <w:sz w:val="14"/>
                <w:szCs w:val="14"/>
              </w:rPr>
              <w:t>2021</w:t>
            </w:r>
          </w:p>
        </w:tc>
        <w:tc>
          <w:tcPr>
            <w:tcW w:w="517" w:type="dxa"/>
            <w:shd w:val="clear" w:color="auto" w:fill="auto"/>
            <w:vAlign w:val="center"/>
          </w:tcPr>
          <w:p w:rsidR="009F20A3" w:rsidRPr="00FE5FA2" w:rsidRDefault="009F20A3" w:rsidP="00FE5FA2">
            <w:pPr>
              <w:ind w:left="-112" w:right="-102"/>
              <w:jc w:val="center"/>
              <w:rPr>
                <w:rFonts w:asciiTheme="majorBidi" w:eastAsia="Calibri" w:hAnsiTheme="majorBidi" w:cstheme="majorBidi"/>
                <w:sz w:val="14"/>
                <w:szCs w:val="14"/>
              </w:rPr>
            </w:pPr>
            <w:r w:rsidRPr="00FE5FA2">
              <w:rPr>
                <w:rFonts w:asciiTheme="majorBidi" w:eastAsia="Calibri" w:hAnsiTheme="majorBidi" w:cstheme="majorBidi"/>
                <w:sz w:val="14"/>
                <w:szCs w:val="14"/>
              </w:rPr>
              <w:t>2022</w:t>
            </w:r>
          </w:p>
        </w:tc>
        <w:tc>
          <w:tcPr>
            <w:tcW w:w="517" w:type="dxa"/>
            <w:shd w:val="clear" w:color="auto" w:fill="auto"/>
            <w:vAlign w:val="center"/>
          </w:tcPr>
          <w:p w:rsidR="009F20A3" w:rsidRPr="00FE5FA2" w:rsidRDefault="009F20A3" w:rsidP="00FE5FA2">
            <w:pPr>
              <w:ind w:left="-112" w:right="-102"/>
              <w:jc w:val="center"/>
              <w:rPr>
                <w:rFonts w:asciiTheme="majorBidi" w:eastAsia="Calibri" w:hAnsiTheme="majorBidi" w:cstheme="majorBidi"/>
                <w:sz w:val="14"/>
                <w:szCs w:val="14"/>
              </w:rPr>
            </w:pPr>
            <w:r w:rsidRPr="00FE5FA2">
              <w:rPr>
                <w:rFonts w:asciiTheme="majorBidi" w:eastAsia="Calibri" w:hAnsiTheme="majorBidi" w:cstheme="majorBidi"/>
                <w:sz w:val="14"/>
                <w:szCs w:val="14"/>
              </w:rPr>
              <w:t>2023</w:t>
            </w:r>
          </w:p>
        </w:tc>
        <w:tc>
          <w:tcPr>
            <w:tcW w:w="517" w:type="dxa"/>
            <w:shd w:val="clear" w:color="auto" w:fill="auto"/>
            <w:vAlign w:val="center"/>
          </w:tcPr>
          <w:p w:rsidR="009F20A3" w:rsidRPr="00FE5FA2" w:rsidRDefault="009F20A3" w:rsidP="00FE5FA2">
            <w:pPr>
              <w:ind w:left="-112" w:right="-102"/>
              <w:jc w:val="center"/>
              <w:rPr>
                <w:rFonts w:asciiTheme="majorBidi" w:eastAsia="Calibri" w:hAnsiTheme="majorBidi" w:cstheme="majorBidi"/>
                <w:sz w:val="14"/>
                <w:szCs w:val="14"/>
              </w:rPr>
            </w:pPr>
            <w:r w:rsidRPr="00FE5FA2">
              <w:rPr>
                <w:rFonts w:asciiTheme="majorBidi" w:eastAsia="Calibri" w:hAnsiTheme="majorBidi" w:cstheme="majorBidi"/>
                <w:sz w:val="14"/>
                <w:szCs w:val="14"/>
              </w:rPr>
              <w:t>2024</w:t>
            </w:r>
          </w:p>
        </w:tc>
        <w:tc>
          <w:tcPr>
            <w:tcW w:w="517" w:type="dxa"/>
            <w:shd w:val="clear" w:color="auto" w:fill="auto"/>
            <w:vAlign w:val="center"/>
          </w:tcPr>
          <w:p w:rsidR="009F20A3" w:rsidRPr="00FE5FA2" w:rsidRDefault="009F20A3" w:rsidP="00FE5FA2">
            <w:pPr>
              <w:ind w:left="-112" w:right="-102"/>
              <w:jc w:val="center"/>
              <w:rPr>
                <w:rFonts w:asciiTheme="majorBidi" w:eastAsia="Calibri" w:hAnsiTheme="majorBidi" w:cstheme="majorBidi"/>
                <w:sz w:val="14"/>
                <w:szCs w:val="14"/>
              </w:rPr>
            </w:pPr>
            <w:r w:rsidRPr="00FE5FA2">
              <w:rPr>
                <w:rFonts w:asciiTheme="majorBidi" w:eastAsia="Calibri" w:hAnsiTheme="majorBidi" w:cstheme="majorBidi"/>
                <w:sz w:val="14"/>
                <w:szCs w:val="14"/>
              </w:rPr>
              <w:t>2025</w:t>
            </w:r>
          </w:p>
        </w:tc>
      </w:tr>
      <w:tr w:rsidR="009F20A3" w:rsidRPr="00FE5FA2" w:rsidTr="00FE5FA2">
        <w:tc>
          <w:tcPr>
            <w:tcW w:w="527" w:type="dxa"/>
            <w:shd w:val="clear" w:color="auto" w:fill="auto"/>
          </w:tcPr>
          <w:p w:rsidR="009F20A3" w:rsidRPr="00FE5FA2" w:rsidRDefault="009F20A3" w:rsidP="00FE5FA2">
            <w:pPr>
              <w:ind w:left="-112" w:right="-102"/>
              <w:jc w:val="center"/>
              <w:rPr>
                <w:rFonts w:asciiTheme="majorBidi" w:eastAsia="Calibri" w:hAnsiTheme="majorBidi" w:cstheme="majorBidi"/>
                <w:sz w:val="14"/>
                <w:szCs w:val="14"/>
              </w:rPr>
            </w:pPr>
            <w:r w:rsidRPr="00FE5FA2">
              <w:rPr>
                <w:rFonts w:asciiTheme="majorBidi" w:eastAsia="Calibri" w:hAnsiTheme="majorBidi" w:cstheme="majorBidi"/>
                <w:sz w:val="14"/>
                <w:szCs w:val="14"/>
              </w:rPr>
              <w:t>370.375</w:t>
            </w:r>
          </w:p>
        </w:tc>
        <w:tc>
          <w:tcPr>
            <w:tcW w:w="516" w:type="dxa"/>
            <w:shd w:val="clear" w:color="auto" w:fill="auto"/>
            <w:vAlign w:val="center"/>
          </w:tcPr>
          <w:p w:rsidR="009F20A3" w:rsidRPr="00FE5FA2" w:rsidRDefault="009F20A3" w:rsidP="00FE5FA2">
            <w:pPr>
              <w:ind w:left="-112" w:right="-102"/>
              <w:jc w:val="center"/>
              <w:rPr>
                <w:rFonts w:asciiTheme="majorBidi" w:eastAsia="Calibri" w:hAnsiTheme="majorBidi" w:cstheme="majorBidi"/>
                <w:sz w:val="14"/>
                <w:szCs w:val="14"/>
              </w:rPr>
            </w:pPr>
            <w:r w:rsidRPr="00FE5FA2">
              <w:rPr>
                <w:rFonts w:asciiTheme="majorBidi" w:eastAsia="Calibri" w:hAnsiTheme="majorBidi" w:cstheme="majorBidi"/>
                <w:sz w:val="14"/>
                <w:szCs w:val="14"/>
              </w:rPr>
              <w:t>371.819</w:t>
            </w:r>
          </w:p>
        </w:tc>
        <w:tc>
          <w:tcPr>
            <w:tcW w:w="516" w:type="dxa"/>
            <w:shd w:val="clear" w:color="auto" w:fill="auto"/>
            <w:vAlign w:val="center"/>
          </w:tcPr>
          <w:p w:rsidR="009F20A3" w:rsidRPr="00FE5FA2" w:rsidRDefault="009F20A3" w:rsidP="00FE5FA2">
            <w:pPr>
              <w:ind w:left="-112" w:right="-102"/>
              <w:jc w:val="center"/>
              <w:rPr>
                <w:rFonts w:asciiTheme="majorBidi" w:eastAsia="Calibri" w:hAnsiTheme="majorBidi" w:cstheme="majorBidi"/>
                <w:sz w:val="14"/>
                <w:szCs w:val="14"/>
              </w:rPr>
            </w:pPr>
            <w:r w:rsidRPr="00FE5FA2">
              <w:rPr>
                <w:rFonts w:asciiTheme="majorBidi" w:eastAsia="Calibri" w:hAnsiTheme="majorBidi" w:cstheme="majorBidi"/>
                <w:sz w:val="14"/>
                <w:szCs w:val="14"/>
              </w:rPr>
              <w:t>373.269</w:t>
            </w:r>
          </w:p>
        </w:tc>
        <w:tc>
          <w:tcPr>
            <w:tcW w:w="516" w:type="dxa"/>
            <w:shd w:val="clear" w:color="auto" w:fill="auto"/>
            <w:vAlign w:val="center"/>
          </w:tcPr>
          <w:p w:rsidR="009F20A3" w:rsidRPr="00FE5FA2" w:rsidRDefault="009F20A3" w:rsidP="00FE5FA2">
            <w:pPr>
              <w:ind w:left="-112" w:right="-102"/>
              <w:jc w:val="center"/>
              <w:rPr>
                <w:rFonts w:asciiTheme="majorBidi" w:eastAsia="Calibri" w:hAnsiTheme="majorBidi" w:cstheme="majorBidi"/>
                <w:sz w:val="14"/>
                <w:szCs w:val="14"/>
              </w:rPr>
            </w:pPr>
            <w:r w:rsidRPr="00FE5FA2">
              <w:rPr>
                <w:rFonts w:asciiTheme="majorBidi" w:eastAsia="Calibri" w:hAnsiTheme="majorBidi" w:cstheme="majorBidi"/>
                <w:sz w:val="14"/>
                <w:szCs w:val="14"/>
              </w:rPr>
              <w:t>374.725</w:t>
            </w:r>
          </w:p>
        </w:tc>
        <w:tc>
          <w:tcPr>
            <w:tcW w:w="517" w:type="dxa"/>
            <w:shd w:val="clear" w:color="auto" w:fill="auto"/>
            <w:vAlign w:val="center"/>
          </w:tcPr>
          <w:p w:rsidR="009F20A3" w:rsidRPr="00FE5FA2" w:rsidRDefault="009F20A3" w:rsidP="00FE5FA2">
            <w:pPr>
              <w:ind w:left="-112" w:right="-102"/>
              <w:jc w:val="center"/>
              <w:rPr>
                <w:rFonts w:asciiTheme="majorBidi" w:eastAsia="Calibri" w:hAnsiTheme="majorBidi" w:cstheme="majorBidi"/>
                <w:sz w:val="14"/>
                <w:szCs w:val="14"/>
              </w:rPr>
            </w:pPr>
            <w:r w:rsidRPr="00FE5FA2">
              <w:rPr>
                <w:rFonts w:asciiTheme="majorBidi" w:eastAsia="Calibri" w:hAnsiTheme="majorBidi" w:cstheme="majorBidi"/>
                <w:sz w:val="14"/>
                <w:szCs w:val="14"/>
              </w:rPr>
              <w:t>376.187</w:t>
            </w:r>
          </w:p>
        </w:tc>
        <w:tc>
          <w:tcPr>
            <w:tcW w:w="517" w:type="dxa"/>
            <w:shd w:val="clear" w:color="auto" w:fill="auto"/>
            <w:vAlign w:val="center"/>
          </w:tcPr>
          <w:p w:rsidR="009F20A3" w:rsidRPr="00FE5FA2" w:rsidRDefault="009F20A3" w:rsidP="00FE5FA2">
            <w:pPr>
              <w:ind w:left="-112" w:right="-102"/>
              <w:jc w:val="center"/>
              <w:rPr>
                <w:rFonts w:asciiTheme="majorBidi" w:eastAsia="Calibri" w:hAnsiTheme="majorBidi" w:cstheme="majorBidi"/>
                <w:sz w:val="14"/>
                <w:szCs w:val="14"/>
              </w:rPr>
            </w:pPr>
            <w:r w:rsidRPr="00FE5FA2">
              <w:rPr>
                <w:rFonts w:asciiTheme="majorBidi" w:eastAsia="Calibri" w:hAnsiTheme="majorBidi" w:cstheme="majorBidi"/>
                <w:sz w:val="14"/>
                <w:szCs w:val="14"/>
              </w:rPr>
              <w:t>377.654</w:t>
            </w:r>
          </w:p>
        </w:tc>
        <w:tc>
          <w:tcPr>
            <w:tcW w:w="517" w:type="dxa"/>
            <w:shd w:val="clear" w:color="auto" w:fill="auto"/>
            <w:vAlign w:val="center"/>
          </w:tcPr>
          <w:p w:rsidR="009F20A3" w:rsidRPr="00FE5FA2" w:rsidRDefault="009F20A3" w:rsidP="00FE5FA2">
            <w:pPr>
              <w:ind w:left="-112" w:right="-102"/>
              <w:jc w:val="center"/>
              <w:rPr>
                <w:rFonts w:asciiTheme="majorBidi" w:eastAsia="Calibri" w:hAnsiTheme="majorBidi" w:cstheme="majorBidi"/>
                <w:sz w:val="14"/>
                <w:szCs w:val="14"/>
              </w:rPr>
            </w:pPr>
            <w:r w:rsidRPr="00FE5FA2">
              <w:rPr>
                <w:rFonts w:asciiTheme="majorBidi" w:eastAsia="Calibri" w:hAnsiTheme="majorBidi" w:cstheme="majorBidi"/>
                <w:sz w:val="14"/>
                <w:szCs w:val="14"/>
              </w:rPr>
              <w:t>379.127</w:t>
            </w:r>
          </w:p>
        </w:tc>
        <w:tc>
          <w:tcPr>
            <w:tcW w:w="517" w:type="dxa"/>
            <w:shd w:val="clear" w:color="auto" w:fill="auto"/>
            <w:vAlign w:val="center"/>
          </w:tcPr>
          <w:p w:rsidR="009F20A3" w:rsidRPr="00FE5FA2" w:rsidRDefault="009F20A3" w:rsidP="00FE5FA2">
            <w:pPr>
              <w:ind w:left="-112" w:right="-102"/>
              <w:jc w:val="center"/>
              <w:rPr>
                <w:rFonts w:asciiTheme="majorBidi" w:eastAsia="Calibri" w:hAnsiTheme="majorBidi" w:cstheme="majorBidi"/>
                <w:sz w:val="14"/>
                <w:szCs w:val="14"/>
              </w:rPr>
            </w:pPr>
            <w:r w:rsidRPr="00FE5FA2">
              <w:rPr>
                <w:rFonts w:asciiTheme="majorBidi" w:eastAsia="Calibri" w:hAnsiTheme="majorBidi" w:cstheme="majorBidi"/>
                <w:sz w:val="14"/>
                <w:szCs w:val="14"/>
              </w:rPr>
              <w:t>380.605</w:t>
            </w:r>
          </w:p>
        </w:tc>
        <w:tc>
          <w:tcPr>
            <w:tcW w:w="517" w:type="dxa"/>
            <w:shd w:val="clear" w:color="auto" w:fill="auto"/>
            <w:vAlign w:val="center"/>
          </w:tcPr>
          <w:p w:rsidR="009F20A3" w:rsidRPr="00FE5FA2" w:rsidRDefault="009F20A3" w:rsidP="00FE5FA2">
            <w:pPr>
              <w:ind w:left="-112" w:right="-102"/>
              <w:jc w:val="center"/>
              <w:rPr>
                <w:rFonts w:asciiTheme="majorBidi" w:eastAsia="Calibri" w:hAnsiTheme="majorBidi" w:cstheme="majorBidi"/>
                <w:sz w:val="14"/>
                <w:szCs w:val="14"/>
              </w:rPr>
            </w:pPr>
            <w:r w:rsidRPr="00FE5FA2">
              <w:rPr>
                <w:rFonts w:asciiTheme="majorBidi" w:eastAsia="Calibri" w:hAnsiTheme="majorBidi" w:cstheme="majorBidi"/>
                <w:sz w:val="14"/>
                <w:szCs w:val="14"/>
              </w:rPr>
              <w:t>382.090</w:t>
            </w:r>
          </w:p>
        </w:tc>
      </w:tr>
    </w:tbl>
    <w:p w:rsidR="0018241B" w:rsidRPr="009F20A3" w:rsidRDefault="0018241B" w:rsidP="0018241B">
      <w:pPr>
        <w:ind w:left="770" w:hanging="770"/>
        <w:jc w:val="both"/>
        <w:rPr>
          <w:sz w:val="18"/>
          <w:szCs w:val="18"/>
        </w:rPr>
      </w:pPr>
      <w:r w:rsidRPr="009F20A3">
        <w:rPr>
          <w:sz w:val="18"/>
          <w:szCs w:val="18"/>
        </w:rPr>
        <w:t>S</w:t>
      </w:r>
      <w:r>
        <w:rPr>
          <w:sz w:val="18"/>
          <w:szCs w:val="18"/>
        </w:rPr>
        <w:t>ource</w:t>
      </w:r>
      <w:r w:rsidRPr="009F20A3">
        <w:rPr>
          <w:sz w:val="18"/>
          <w:szCs w:val="18"/>
        </w:rPr>
        <w:t>:</w:t>
      </w:r>
      <w:r w:rsidRPr="009F20A3">
        <w:rPr>
          <w:sz w:val="18"/>
          <w:szCs w:val="18"/>
        </w:rPr>
        <w:tab/>
        <w:t>BPS</w:t>
      </w:r>
      <w:r>
        <w:rPr>
          <w:sz w:val="18"/>
          <w:szCs w:val="18"/>
        </w:rPr>
        <w:t xml:space="preserve"> Catalog</w:t>
      </w:r>
      <w:r w:rsidRPr="009F20A3">
        <w:rPr>
          <w:sz w:val="18"/>
          <w:szCs w:val="18"/>
        </w:rPr>
        <w:t>:1102001.3211,  Sumedang</w:t>
      </w:r>
      <w:r>
        <w:rPr>
          <w:sz w:val="18"/>
          <w:szCs w:val="18"/>
        </w:rPr>
        <w:t xml:space="preserve"> Regency in Figures 2018, Sumedang Regency Central Statistics Agency </w:t>
      </w:r>
      <w:r w:rsidRPr="009F20A3">
        <w:rPr>
          <w:sz w:val="18"/>
          <w:szCs w:val="18"/>
        </w:rPr>
        <w:t>[</w:t>
      </w:r>
      <w:r w:rsidR="00F009E7">
        <w:rPr>
          <w:sz w:val="18"/>
          <w:szCs w:val="18"/>
        </w:rPr>
        <w:t>2</w:t>
      </w:r>
      <w:r w:rsidR="000217BF">
        <w:rPr>
          <w:sz w:val="18"/>
          <w:szCs w:val="18"/>
        </w:rPr>
        <w:t>5</w:t>
      </w:r>
      <w:r w:rsidRPr="009F20A3">
        <w:rPr>
          <w:sz w:val="18"/>
          <w:szCs w:val="18"/>
        </w:rPr>
        <w:t>]</w:t>
      </w:r>
    </w:p>
    <w:p w:rsidR="009F20A3" w:rsidRPr="00C66EAE" w:rsidRDefault="009F20A3" w:rsidP="009F20A3">
      <w:pPr>
        <w:rPr>
          <w:sz w:val="18"/>
          <w:szCs w:val="18"/>
        </w:rPr>
      </w:pPr>
    </w:p>
    <w:p w:rsidR="00FE5FA2" w:rsidRPr="00C66EAE" w:rsidRDefault="00F009E7" w:rsidP="000100E1">
      <w:pPr>
        <w:rPr>
          <w:b/>
          <w:sz w:val="18"/>
          <w:szCs w:val="18"/>
        </w:rPr>
      </w:pPr>
      <w:r w:rsidRPr="00C66EAE">
        <w:rPr>
          <w:b/>
          <w:sz w:val="18"/>
          <w:szCs w:val="18"/>
        </w:rPr>
        <w:t>2</w:t>
      </w:r>
      <w:r w:rsidR="0018241B" w:rsidRPr="00C66EAE">
        <w:rPr>
          <w:b/>
          <w:sz w:val="18"/>
          <w:szCs w:val="18"/>
        </w:rPr>
        <w:t>.</w:t>
      </w:r>
      <w:r w:rsidRPr="00C66EAE">
        <w:rPr>
          <w:b/>
          <w:sz w:val="18"/>
          <w:szCs w:val="18"/>
        </w:rPr>
        <w:t>6</w:t>
      </w:r>
      <w:r w:rsidR="0018241B" w:rsidRPr="00C66EAE">
        <w:rPr>
          <w:b/>
          <w:sz w:val="18"/>
          <w:szCs w:val="18"/>
        </w:rPr>
        <w:t xml:space="preserve">   Secondary </w:t>
      </w:r>
      <w:r w:rsidR="009F20A3" w:rsidRPr="00C66EAE">
        <w:rPr>
          <w:b/>
          <w:sz w:val="18"/>
          <w:szCs w:val="18"/>
        </w:rPr>
        <w:t xml:space="preserve">Data </w:t>
      </w:r>
      <w:r w:rsidR="0018241B" w:rsidRPr="00C66EAE">
        <w:rPr>
          <w:b/>
          <w:sz w:val="18"/>
          <w:szCs w:val="18"/>
        </w:rPr>
        <w:t>Collection in</w:t>
      </w:r>
      <w:r w:rsidR="009F20A3" w:rsidRPr="00C66EAE">
        <w:rPr>
          <w:b/>
          <w:sz w:val="18"/>
          <w:szCs w:val="18"/>
        </w:rPr>
        <w:t xml:space="preserve"> Indonesia</w:t>
      </w:r>
    </w:p>
    <w:p w:rsidR="009F20A3" w:rsidRPr="00C66EAE" w:rsidRDefault="00F009E7" w:rsidP="000100E1">
      <w:pPr>
        <w:ind w:left="90" w:hanging="90"/>
        <w:rPr>
          <w:b/>
          <w:sz w:val="18"/>
          <w:szCs w:val="18"/>
        </w:rPr>
      </w:pPr>
      <w:r w:rsidRPr="00C66EAE">
        <w:rPr>
          <w:b/>
          <w:sz w:val="18"/>
          <w:szCs w:val="18"/>
        </w:rPr>
        <w:t>2</w:t>
      </w:r>
      <w:r w:rsidR="0018241B" w:rsidRPr="00C66EAE">
        <w:rPr>
          <w:b/>
          <w:sz w:val="18"/>
          <w:szCs w:val="18"/>
        </w:rPr>
        <w:t>.</w:t>
      </w:r>
      <w:r w:rsidRPr="00C66EAE">
        <w:rPr>
          <w:b/>
          <w:sz w:val="18"/>
          <w:szCs w:val="18"/>
        </w:rPr>
        <w:t>6</w:t>
      </w:r>
      <w:r w:rsidR="0018241B" w:rsidRPr="00C66EAE">
        <w:rPr>
          <w:b/>
          <w:sz w:val="18"/>
          <w:szCs w:val="18"/>
        </w:rPr>
        <w:t xml:space="preserve">.1   </w:t>
      </w:r>
      <w:r w:rsidR="009F20A3" w:rsidRPr="00C66EAE">
        <w:rPr>
          <w:b/>
          <w:sz w:val="18"/>
          <w:szCs w:val="18"/>
        </w:rPr>
        <w:t>T</w:t>
      </w:r>
      <w:r w:rsidR="0018241B" w:rsidRPr="00C66EAE">
        <w:rPr>
          <w:b/>
          <w:sz w:val="18"/>
          <w:szCs w:val="18"/>
        </w:rPr>
        <w:t>ofu Craftmen Data</w:t>
      </w:r>
      <w:r w:rsidR="009F20A3" w:rsidRPr="00C66EAE">
        <w:rPr>
          <w:b/>
          <w:sz w:val="18"/>
          <w:szCs w:val="18"/>
        </w:rPr>
        <w:t xml:space="preserve"> </w:t>
      </w:r>
    </w:p>
    <w:p w:rsidR="009F20A3" w:rsidRPr="00C66EAE" w:rsidRDefault="0018241B" w:rsidP="000100E1">
      <w:pPr>
        <w:widowControl/>
        <w:jc w:val="both"/>
        <w:rPr>
          <w:rFonts w:eastAsia="Times New Roman"/>
          <w:snapToGrid/>
          <w:sz w:val="18"/>
          <w:szCs w:val="18"/>
          <w:lang w:val="en"/>
        </w:rPr>
      </w:pPr>
      <w:r w:rsidRPr="00C66EAE">
        <w:rPr>
          <w:rFonts w:eastAsia="Times New Roman"/>
          <w:snapToGrid/>
          <w:sz w:val="18"/>
          <w:szCs w:val="18"/>
          <w:lang w:val="en"/>
        </w:rPr>
        <w:t>According to the Ministry of Agriculture's 2017 Horticultural Food Outlook Outlook, soybean balance projections in Indonesia 2018-2021 [</w:t>
      </w:r>
      <w:r w:rsidR="00F009E7" w:rsidRPr="00C66EAE">
        <w:rPr>
          <w:rFonts w:eastAsia="Times New Roman"/>
          <w:snapToGrid/>
          <w:sz w:val="18"/>
          <w:szCs w:val="18"/>
          <w:lang w:val="en"/>
        </w:rPr>
        <w:t>2</w:t>
      </w:r>
      <w:r w:rsidR="000217BF" w:rsidRPr="00C66EAE">
        <w:rPr>
          <w:rFonts w:eastAsia="Times New Roman"/>
          <w:snapToGrid/>
          <w:sz w:val="18"/>
          <w:szCs w:val="18"/>
          <w:lang w:val="en"/>
        </w:rPr>
        <w:t>8</w:t>
      </w:r>
      <w:r w:rsidRPr="00C66EAE">
        <w:rPr>
          <w:rFonts w:eastAsia="Times New Roman"/>
          <w:snapToGrid/>
          <w:sz w:val="18"/>
          <w:szCs w:val="18"/>
          <w:lang w:val="en"/>
        </w:rPr>
        <w:t>], Indonesia imported more than 2 million tons of soybeans since 2018. BPS data in 2017 [</w:t>
      </w:r>
      <w:r w:rsidR="00F009E7" w:rsidRPr="00C66EAE">
        <w:rPr>
          <w:rFonts w:eastAsia="Times New Roman"/>
          <w:snapToGrid/>
          <w:sz w:val="18"/>
          <w:szCs w:val="18"/>
          <w:lang w:val="en"/>
        </w:rPr>
        <w:t>2</w:t>
      </w:r>
      <w:r w:rsidR="000217BF" w:rsidRPr="00C66EAE">
        <w:rPr>
          <w:rFonts w:eastAsia="Times New Roman"/>
          <w:snapToGrid/>
          <w:sz w:val="18"/>
          <w:szCs w:val="18"/>
          <w:lang w:val="en"/>
        </w:rPr>
        <w:t>9</w:t>
      </w:r>
      <w:r w:rsidRPr="00C66EAE">
        <w:rPr>
          <w:rFonts w:eastAsia="Times New Roman"/>
          <w:snapToGrid/>
          <w:sz w:val="18"/>
          <w:szCs w:val="18"/>
          <w:lang w:val="en"/>
        </w:rPr>
        <w:t>] shows higher soybean import figures than projected</w:t>
      </w:r>
      <w:r w:rsidR="00F009E7" w:rsidRPr="00C66EAE">
        <w:rPr>
          <w:rFonts w:eastAsia="Times New Roman"/>
          <w:snapToGrid/>
          <w:sz w:val="18"/>
          <w:szCs w:val="18"/>
          <w:lang w:val="en"/>
        </w:rPr>
        <w:t xml:space="preserve"> Ministry of Agriculture. Table 2</w:t>
      </w:r>
      <w:r w:rsidRPr="00C66EAE">
        <w:rPr>
          <w:rFonts w:eastAsia="Times New Roman"/>
          <w:snapToGrid/>
          <w:sz w:val="18"/>
          <w:szCs w:val="18"/>
          <w:lang w:val="en"/>
        </w:rPr>
        <w:t>.8 uses processed BPS data, where 70% of imported soybeans [</w:t>
      </w:r>
      <w:r w:rsidR="000217BF" w:rsidRPr="00C66EAE">
        <w:rPr>
          <w:rFonts w:eastAsia="Times New Roman"/>
          <w:snapToGrid/>
          <w:sz w:val="18"/>
          <w:szCs w:val="18"/>
          <w:lang w:val="en"/>
        </w:rPr>
        <w:t>30</w:t>
      </w:r>
      <w:r w:rsidRPr="00C66EAE">
        <w:rPr>
          <w:rFonts w:eastAsia="Times New Roman"/>
          <w:snapToGrid/>
          <w:sz w:val="18"/>
          <w:szCs w:val="18"/>
          <w:lang w:val="en"/>
        </w:rPr>
        <w:t>] are absorbed by tofu and tempeh craftsmen and it is assumed that 60% is utilized by tofu craftsmen.</w:t>
      </w:r>
    </w:p>
    <w:p w:rsidR="00F009E7" w:rsidRPr="00F009E7" w:rsidRDefault="00F009E7" w:rsidP="00F009E7">
      <w:pPr>
        <w:widowControl/>
        <w:jc w:val="both"/>
        <w:rPr>
          <w:rFonts w:eastAsia="Times New Roman"/>
          <w:snapToGrid/>
          <w:sz w:val="18"/>
          <w:szCs w:val="18"/>
          <w:lang w:val="en"/>
        </w:rPr>
      </w:pPr>
    </w:p>
    <w:p w:rsidR="0018241B" w:rsidRPr="000100E1" w:rsidRDefault="009F20A3" w:rsidP="009F20A3">
      <w:pPr>
        <w:jc w:val="center"/>
        <w:rPr>
          <w:sz w:val="18"/>
          <w:szCs w:val="18"/>
        </w:rPr>
      </w:pPr>
      <w:r w:rsidRPr="000100E1">
        <w:rPr>
          <w:sz w:val="18"/>
          <w:szCs w:val="18"/>
        </w:rPr>
        <w:t>Tabl</w:t>
      </w:r>
      <w:r w:rsidR="0018241B" w:rsidRPr="000100E1">
        <w:rPr>
          <w:sz w:val="18"/>
          <w:szCs w:val="18"/>
        </w:rPr>
        <w:t>e</w:t>
      </w:r>
      <w:r w:rsidRPr="000100E1">
        <w:rPr>
          <w:sz w:val="18"/>
          <w:szCs w:val="18"/>
        </w:rPr>
        <w:t xml:space="preserve"> </w:t>
      </w:r>
      <w:r w:rsidR="00F009E7" w:rsidRPr="000100E1">
        <w:rPr>
          <w:sz w:val="18"/>
          <w:szCs w:val="18"/>
        </w:rPr>
        <w:t>2</w:t>
      </w:r>
      <w:r w:rsidRPr="000100E1">
        <w:rPr>
          <w:sz w:val="18"/>
          <w:szCs w:val="18"/>
        </w:rPr>
        <w:t xml:space="preserve">.8 </w:t>
      </w:r>
    </w:p>
    <w:p w:rsidR="009F20A3" w:rsidRPr="000100E1" w:rsidRDefault="0018241B" w:rsidP="009F20A3">
      <w:pPr>
        <w:jc w:val="center"/>
        <w:rPr>
          <w:sz w:val="18"/>
          <w:szCs w:val="18"/>
        </w:rPr>
      </w:pPr>
      <w:r w:rsidRPr="000100E1">
        <w:rPr>
          <w:sz w:val="18"/>
          <w:szCs w:val="18"/>
        </w:rPr>
        <w:t>Production C</w:t>
      </w:r>
      <w:r w:rsidR="009F20A3" w:rsidRPr="000100E1">
        <w:rPr>
          <w:sz w:val="18"/>
          <w:szCs w:val="18"/>
        </w:rPr>
        <w:t>apa</w:t>
      </w:r>
      <w:r w:rsidRPr="000100E1">
        <w:rPr>
          <w:sz w:val="18"/>
          <w:szCs w:val="18"/>
        </w:rPr>
        <w:t>c</w:t>
      </w:r>
      <w:r w:rsidR="009F20A3" w:rsidRPr="000100E1">
        <w:rPr>
          <w:sz w:val="18"/>
          <w:szCs w:val="18"/>
        </w:rPr>
        <w:t>it</w:t>
      </w:r>
      <w:r w:rsidRPr="000100E1">
        <w:rPr>
          <w:sz w:val="18"/>
          <w:szCs w:val="18"/>
        </w:rPr>
        <w:t xml:space="preserve">y of Tofu Craftsmen in Indonesia in </w:t>
      </w:r>
      <w:r w:rsidR="009F20A3" w:rsidRPr="000100E1">
        <w:rPr>
          <w:sz w:val="18"/>
          <w:szCs w:val="18"/>
        </w:rPr>
        <w:t>2017</w:t>
      </w:r>
    </w:p>
    <w:tbl>
      <w:tblPr>
        <w:tblW w:w="0" w:type="auto"/>
        <w:jc w:val="center"/>
        <w:tblBorders>
          <w:top w:val="single" w:sz="4" w:space="0" w:color="000000"/>
          <w:left w:val="single" w:sz="8" w:space="0" w:color="000000"/>
          <w:bottom w:val="single" w:sz="4" w:space="0" w:color="000000"/>
          <w:right w:val="single" w:sz="8" w:space="0" w:color="000000"/>
          <w:insideH w:val="single" w:sz="4" w:space="0" w:color="000000"/>
          <w:insideV w:val="single" w:sz="8" w:space="0" w:color="000000"/>
        </w:tblBorders>
        <w:tblLook w:val="04A0" w:firstRow="1" w:lastRow="0" w:firstColumn="1" w:lastColumn="0" w:noHBand="0" w:noVBand="1"/>
      </w:tblPr>
      <w:tblGrid>
        <w:gridCol w:w="1356"/>
        <w:gridCol w:w="1356"/>
      </w:tblGrid>
      <w:tr w:rsidR="009F20A3" w:rsidRPr="002016EC" w:rsidTr="0018241B">
        <w:trPr>
          <w:jc w:val="center"/>
        </w:trPr>
        <w:tc>
          <w:tcPr>
            <w:tcW w:w="1356" w:type="dxa"/>
            <w:shd w:val="clear" w:color="auto" w:fill="auto"/>
            <w:vAlign w:val="center"/>
          </w:tcPr>
          <w:p w:rsidR="009F20A3" w:rsidRPr="00BD3291" w:rsidRDefault="009F20A3" w:rsidP="00835079">
            <w:pPr>
              <w:jc w:val="center"/>
              <w:rPr>
                <w:rFonts w:eastAsia="Calibri"/>
              </w:rPr>
            </w:pPr>
            <w:r w:rsidRPr="00BD3291">
              <w:rPr>
                <w:rFonts w:eastAsia="Calibri"/>
              </w:rPr>
              <w:t>Impor</w:t>
            </w:r>
            <w:r w:rsidR="0018241B">
              <w:rPr>
                <w:rFonts w:eastAsia="Calibri"/>
              </w:rPr>
              <w:t>t</w:t>
            </w:r>
          </w:p>
          <w:p w:rsidR="009F20A3" w:rsidRPr="00BD3291" w:rsidRDefault="009F20A3" w:rsidP="00835079">
            <w:pPr>
              <w:jc w:val="center"/>
              <w:rPr>
                <w:rFonts w:eastAsia="Calibri"/>
              </w:rPr>
            </w:pPr>
            <w:r w:rsidRPr="00BD3291">
              <w:rPr>
                <w:rFonts w:eastAsia="Calibri"/>
              </w:rPr>
              <w:t>(ton/</w:t>
            </w:r>
            <w:r w:rsidR="0018241B">
              <w:rPr>
                <w:rFonts w:eastAsia="Calibri"/>
              </w:rPr>
              <w:t>year</w:t>
            </w:r>
            <w:r w:rsidRPr="00BD3291">
              <w:rPr>
                <w:rFonts w:eastAsia="Calibri"/>
              </w:rPr>
              <w:t>)</w:t>
            </w:r>
          </w:p>
        </w:tc>
        <w:tc>
          <w:tcPr>
            <w:tcW w:w="1356" w:type="dxa"/>
            <w:shd w:val="clear" w:color="auto" w:fill="auto"/>
            <w:vAlign w:val="center"/>
          </w:tcPr>
          <w:p w:rsidR="009F20A3" w:rsidRPr="00BD3291" w:rsidRDefault="0018241B" w:rsidP="00835079">
            <w:pPr>
              <w:jc w:val="center"/>
              <w:rPr>
                <w:rFonts w:eastAsia="Calibri"/>
              </w:rPr>
            </w:pPr>
            <w:r>
              <w:rPr>
                <w:rFonts w:eastAsia="Calibri"/>
              </w:rPr>
              <w:t>Production Capacity</w:t>
            </w:r>
            <w:r w:rsidR="009F20A3" w:rsidRPr="00BD3291">
              <w:rPr>
                <w:rFonts w:eastAsia="Calibri"/>
              </w:rPr>
              <w:t xml:space="preserve"> </w:t>
            </w:r>
          </w:p>
          <w:p w:rsidR="009F20A3" w:rsidRPr="00BD3291" w:rsidRDefault="009F20A3" w:rsidP="00835079">
            <w:pPr>
              <w:jc w:val="center"/>
              <w:rPr>
                <w:rFonts w:eastAsia="Calibri"/>
              </w:rPr>
            </w:pPr>
            <w:r w:rsidRPr="00BD3291">
              <w:rPr>
                <w:rFonts w:eastAsia="Calibri"/>
              </w:rPr>
              <w:t>(ton/</w:t>
            </w:r>
            <w:r w:rsidR="0018241B">
              <w:rPr>
                <w:rFonts w:eastAsia="Calibri"/>
              </w:rPr>
              <w:t>year</w:t>
            </w:r>
            <w:r w:rsidRPr="00BD3291">
              <w:rPr>
                <w:rFonts w:eastAsia="Calibri"/>
              </w:rPr>
              <w:t>)</w:t>
            </w:r>
          </w:p>
        </w:tc>
      </w:tr>
      <w:tr w:rsidR="009F20A3" w:rsidRPr="002016EC" w:rsidTr="0018241B">
        <w:trPr>
          <w:jc w:val="center"/>
        </w:trPr>
        <w:tc>
          <w:tcPr>
            <w:tcW w:w="1356" w:type="dxa"/>
            <w:shd w:val="clear" w:color="auto" w:fill="auto"/>
            <w:vAlign w:val="center"/>
          </w:tcPr>
          <w:p w:rsidR="009F20A3" w:rsidRPr="00BD3291" w:rsidRDefault="009F20A3" w:rsidP="00835079">
            <w:pPr>
              <w:jc w:val="center"/>
              <w:rPr>
                <w:rFonts w:eastAsia="Calibri"/>
              </w:rPr>
            </w:pPr>
            <w:r w:rsidRPr="00BD3291">
              <w:rPr>
                <w:rFonts w:eastAsia="Calibri"/>
              </w:rPr>
              <w:t>2.671.914,1</w:t>
            </w:r>
          </w:p>
        </w:tc>
        <w:tc>
          <w:tcPr>
            <w:tcW w:w="1356" w:type="dxa"/>
            <w:shd w:val="clear" w:color="auto" w:fill="auto"/>
            <w:vAlign w:val="center"/>
          </w:tcPr>
          <w:p w:rsidR="009F20A3" w:rsidRPr="00BD3291" w:rsidRDefault="009F20A3" w:rsidP="00835079">
            <w:pPr>
              <w:jc w:val="center"/>
              <w:rPr>
                <w:rFonts w:eastAsia="Calibri"/>
              </w:rPr>
            </w:pPr>
            <w:r w:rsidRPr="00BD3291">
              <w:rPr>
                <w:rFonts w:eastAsia="Calibri"/>
              </w:rPr>
              <w:t>1.122.203,9</w:t>
            </w:r>
          </w:p>
        </w:tc>
      </w:tr>
    </w:tbl>
    <w:p w:rsidR="00FE5FA2" w:rsidRDefault="00FE5FA2" w:rsidP="00FE5FA2">
      <w:pPr>
        <w:rPr>
          <w:b/>
          <w:bCs/>
        </w:rPr>
      </w:pPr>
    </w:p>
    <w:p w:rsidR="009F20A3" w:rsidRPr="005C10F3" w:rsidRDefault="00F009E7" w:rsidP="000100E1">
      <w:pPr>
        <w:rPr>
          <w:b/>
          <w:bCs/>
          <w:sz w:val="18"/>
          <w:szCs w:val="18"/>
        </w:rPr>
      </w:pPr>
      <w:r>
        <w:rPr>
          <w:b/>
          <w:bCs/>
        </w:rPr>
        <w:t>2</w:t>
      </w:r>
      <w:r w:rsidR="009F20A3" w:rsidRPr="002016EC">
        <w:rPr>
          <w:b/>
          <w:bCs/>
        </w:rPr>
        <w:t>.</w:t>
      </w:r>
      <w:r w:rsidRPr="005C10F3">
        <w:rPr>
          <w:b/>
          <w:bCs/>
          <w:sz w:val="18"/>
          <w:szCs w:val="18"/>
        </w:rPr>
        <w:t>6</w:t>
      </w:r>
      <w:r w:rsidR="009F20A3" w:rsidRPr="005C10F3">
        <w:rPr>
          <w:b/>
          <w:bCs/>
          <w:sz w:val="18"/>
          <w:szCs w:val="18"/>
        </w:rPr>
        <w:t xml:space="preserve">.2   </w:t>
      </w:r>
      <w:r w:rsidR="0018241B" w:rsidRPr="005C10F3">
        <w:rPr>
          <w:b/>
          <w:bCs/>
          <w:sz w:val="18"/>
          <w:szCs w:val="18"/>
        </w:rPr>
        <w:t xml:space="preserve">Cattle Breeder </w:t>
      </w:r>
      <w:r w:rsidR="009F20A3" w:rsidRPr="005C10F3">
        <w:rPr>
          <w:b/>
          <w:bCs/>
          <w:sz w:val="18"/>
          <w:szCs w:val="18"/>
        </w:rPr>
        <w:t xml:space="preserve">Data </w:t>
      </w:r>
    </w:p>
    <w:p w:rsidR="0018241B" w:rsidRPr="0018241B" w:rsidRDefault="0018241B" w:rsidP="000100E1">
      <w:pPr>
        <w:widowControl/>
        <w:jc w:val="both"/>
        <w:rPr>
          <w:rFonts w:eastAsia="Times New Roman"/>
          <w:snapToGrid/>
          <w:color w:val="0D0D0D" w:themeColor="text1" w:themeTint="F2"/>
          <w:sz w:val="18"/>
          <w:szCs w:val="18"/>
          <w:lang w:val="en"/>
        </w:rPr>
      </w:pPr>
      <w:r w:rsidRPr="0018241B">
        <w:rPr>
          <w:rFonts w:eastAsia="Times New Roman"/>
          <w:snapToGrid/>
          <w:color w:val="0D0D0D" w:themeColor="text1" w:themeTint="F2"/>
          <w:sz w:val="18"/>
          <w:szCs w:val="18"/>
          <w:lang w:val="en"/>
        </w:rPr>
        <w:t>2018 cattle population in Indonesia according to BPS Catalog: 1101</w:t>
      </w:r>
      <w:r w:rsidR="00F009E7">
        <w:rPr>
          <w:rFonts w:eastAsia="Times New Roman"/>
          <w:snapToGrid/>
          <w:color w:val="0D0D0D" w:themeColor="text1" w:themeTint="F2"/>
          <w:sz w:val="18"/>
          <w:szCs w:val="18"/>
          <w:lang w:val="en"/>
        </w:rPr>
        <w:t>001 Statistics Indonesia 2019 [</w:t>
      </w:r>
      <w:r w:rsidR="000217BF">
        <w:rPr>
          <w:rFonts w:eastAsia="Times New Roman"/>
          <w:snapToGrid/>
          <w:color w:val="0D0D0D" w:themeColor="text1" w:themeTint="F2"/>
          <w:sz w:val="18"/>
          <w:szCs w:val="18"/>
          <w:lang w:val="en"/>
        </w:rPr>
        <w:t>30</w:t>
      </w:r>
      <w:r w:rsidRPr="0018241B">
        <w:rPr>
          <w:rFonts w:eastAsia="Times New Roman"/>
          <w:snapToGrid/>
          <w:color w:val="0D0D0D" w:themeColor="text1" w:themeTint="F2"/>
          <w:sz w:val="18"/>
          <w:szCs w:val="18"/>
          <w:lang w:val="en"/>
        </w:rPr>
        <w:t>] and http://www.bps.go.id/linkTableDinamis/view/id/1016 [</w:t>
      </w:r>
      <w:r w:rsidR="00F009E7">
        <w:rPr>
          <w:rFonts w:eastAsia="Times New Roman"/>
          <w:snapToGrid/>
          <w:color w:val="0D0D0D" w:themeColor="text1" w:themeTint="F2"/>
          <w:sz w:val="18"/>
          <w:szCs w:val="18"/>
          <w:lang w:val="en"/>
        </w:rPr>
        <w:t>3</w:t>
      </w:r>
      <w:r w:rsidR="000217BF">
        <w:rPr>
          <w:rFonts w:eastAsia="Times New Roman"/>
          <w:snapToGrid/>
          <w:color w:val="0D0D0D" w:themeColor="text1" w:themeTint="F2"/>
          <w:sz w:val="18"/>
          <w:szCs w:val="18"/>
          <w:lang w:val="en"/>
        </w:rPr>
        <w:t>1</w:t>
      </w:r>
      <w:r w:rsidRPr="0018241B">
        <w:rPr>
          <w:rFonts w:eastAsia="Times New Roman"/>
          <w:snapToGrid/>
          <w:color w:val="0D0D0D" w:themeColor="text1" w:themeTint="F2"/>
          <w:sz w:val="18"/>
          <w:szCs w:val="18"/>
          <w:lang w:val="en"/>
        </w:rPr>
        <w:t xml:space="preserve">] as shown in Table </w:t>
      </w:r>
      <w:r w:rsidR="00F009E7">
        <w:rPr>
          <w:rFonts w:eastAsia="Times New Roman"/>
          <w:snapToGrid/>
          <w:color w:val="0D0D0D" w:themeColor="text1" w:themeTint="F2"/>
          <w:sz w:val="18"/>
          <w:szCs w:val="18"/>
          <w:lang w:val="en"/>
        </w:rPr>
        <w:t>2</w:t>
      </w:r>
      <w:r w:rsidRPr="0018241B">
        <w:rPr>
          <w:rFonts w:eastAsia="Times New Roman"/>
          <w:snapToGrid/>
          <w:color w:val="0D0D0D" w:themeColor="text1" w:themeTint="F2"/>
          <w:sz w:val="18"/>
          <w:szCs w:val="18"/>
          <w:lang w:val="en"/>
        </w:rPr>
        <w:t>.9.</w:t>
      </w:r>
    </w:p>
    <w:p w:rsidR="0018241B" w:rsidRPr="00F009E7" w:rsidRDefault="0018241B" w:rsidP="009F20A3">
      <w:pPr>
        <w:jc w:val="center"/>
      </w:pPr>
    </w:p>
    <w:p w:rsidR="00FE5FA2" w:rsidRDefault="00FE5FA2" w:rsidP="009F20A3">
      <w:pPr>
        <w:jc w:val="center"/>
        <w:rPr>
          <w:sz w:val="18"/>
          <w:szCs w:val="18"/>
        </w:rPr>
      </w:pPr>
    </w:p>
    <w:p w:rsidR="00FE5FA2" w:rsidRDefault="00FE5FA2" w:rsidP="009F20A3">
      <w:pPr>
        <w:jc w:val="center"/>
        <w:rPr>
          <w:sz w:val="18"/>
          <w:szCs w:val="18"/>
        </w:rPr>
      </w:pPr>
    </w:p>
    <w:p w:rsidR="000100E1" w:rsidRDefault="000100E1" w:rsidP="009F20A3">
      <w:pPr>
        <w:jc w:val="center"/>
        <w:rPr>
          <w:sz w:val="18"/>
          <w:szCs w:val="18"/>
        </w:rPr>
      </w:pPr>
    </w:p>
    <w:p w:rsidR="00FE5FA2" w:rsidRDefault="00FE5FA2" w:rsidP="005C10F3">
      <w:pPr>
        <w:rPr>
          <w:sz w:val="18"/>
          <w:szCs w:val="18"/>
        </w:rPr>
      </w:pPr>
    </w:p>
    <w:p w:rsidR="00FE5FA2" w:rsidRDefault="00FE5FA2" w:rsidP="009F20A3">
      <w:pPr>
        <w:jc w:val="center"/>
        <w:rPr>
          <w:sz w:val="18"/>
          <w:szCs w:val="18"/>
        </w:rPr>
      </w:pPr>
    </w:p>
    <w:p w:rsidR="005206EF" w:rsidRPr="00F009E7" w:rsidRDefault="0018241B" w:rsidP="009F20A3">
      <w:pPr>
        <w:jc w:val="center"/>
        <w:rPr>
          <w:sz w:val="18"/>
          <w:szCs w:val="18"/>
        </w:rPr>
      </w:pPr>
      <w:r w:rsidRPr="00F009E7">
        <w:rPr>
          <w:sz w:val="18"/>
          <w:szCs w:val="18"/>
        </w:rPr>
        <w:lastRenderedPageBreak/>
        <w:t>Table</w:t>
      </w:r>
      <w:r w:rsidR="009F20A3" w:rsidRPr="00F009E7">
        <w:rPr>
          <w:sz w:val="18"/>
          <w:szCs w:val="18"/>
        </w:rPr>
        <w:t xml:space="preserve"> </w:t>
      </w:r>
      <w:r w:rsidR="00F009E7" w:rsidRPr="00F009E7">
        <w:rPr>
          <w:sz w:val="18"/>
          <w:szCs w:val="18"/>
        </w:rPr>
        <w:t>2</w:t>
      </w:r>
      <w:r w:rsidR="009F20A3" w:rsidRPr="00F009E7">
        <w:rPr>
          <w:sz w:val="18"/>
          <w:szCs w:val="18"/>
        </w:rPr>
        <w:t xml:space="preserve">.9 </w:t>
      </w:r>
    </w:p>
    <w:p w:rsidR="009F20A3" w:rsidRPr="00F009E7" w:rsidRDefault="005206EF" w:rsidP="009F20A3">
      <w:pPr>
        <w:jc w:val="center"/>
        <w:rPr>
          <w:sz w:val="18"/>
          <w:szCs w:val="18"/>
        </w:rPr>
      </w:pPr>
      <w:r w:rsidRPr="00F009E7">
        <w:rPr>
          <w:sz w:val="18"/>
          <w:szCs w:val="18"/>
        </w:rPr>
        <w:t>C</w:t>
      </w:r>
      <w:r w:rsidR="00F009E7">
        <w:rPr>
          <w:sz w:val="18"/>
          <w:szCs w:val="18"/>
        </w:rPr>
        <w:t>attles</w:t>
      </w:r>
      <w:r w:rsidRPr="00F009E7">
        <w:rPr>
          <w:sz w:val="18"/>
          <w:szCs w:val="18"/>
        </w:rPr>
        <w:t xml:space="preserve"> Population in </w:t>
      </w:r>
      <w:r w:rsidR="009F20A3" w:rsidRPr="00F009E7">
        <w:rPr>
          <w:sz w:val="18"/>
          <w:szCs w:val="18"/>
        </w:rPr>
        <w:t>Indonesia</w:t>
      </w:r>
    </w:p>
    <w:tbl>
      <w:tblPr>
        <w:tblW w:w="0" w:type="auto"/>
        <w:jc w:val="center"/>
        <w:tblBorders>
          <w:top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7"/>
        <w:gridCol w:w="910"/>
        <w:gridCol w:w="1274"/>
        <w:gridCol w:w="1653"/>
      </w:tblGrid>
      <w:tr w:rsidR="005206EF" w:rsidRPr="005206EF" w:rsidTr="00FE5FA2">
        <w:trPr>
          <w:jc w:val="center"/>
        </w:trPr>
        <w:tc>
          <w:tcPr>
            <w:tcW w:w="807" w:type="dxa"/>
            <w:tcBorders>
              <w:left w:val="single" w:sz="4" w:space="0" w:color="000000"/>
              <w:bottom w:val="single" w:sz="4" w:space="0" w:color="000000"/>
              <w:right w:val="single" w:sz="4" w:space="0" w:color="000000"/>
            </w:tcBorders>
            <w:shd w:val="clear" w:color="auto" w:fill="auto"/>
            <w:vAlign w:val="center"/>
          </w:tcPr>
          <w:p w:rsidR="009F20A3" w:rsidRPr="00B40A30" w:rsidRDefault="0018241B" w:rsidP="00835079">
            <w:pPr>
              <w:jc w:val="center"/>
              <w:rPr>
                <w:rFonts w:eastAsia="Calibri"/>
                <w:sz w:val="18"/>
                <w:szCs w:val="18"/>
              </w:rPr>
            </w:pPr>
            <w:r w:rsidRPr="00B40A30">
              <w:rPr>
                <w:rFonts w:eastAsia="Calibri"/>
                <w:sz w:val="18"/>
                <w:szCs w:val="18"/>
              </w:rPr>
              <w:t>Type of C</w:t>
            </w:r>
            <w:r w:rsidR="00F009E7" w:rsidRPr="00B40A30">
              <w:rPr>
                <w:rFonts w:eastAsia="Calibri"/>
                <w:sz w:val="18"/>
                <w:szCs w:val="18"/>
              </w:rPr>
              <w:t>attles</w:t>
            </w:r>
          </w:p>
        </w:tc>
        <w:tc>
          <w:tcPr>
            <w:tcW w:w="910" w:type="dxa"/>
            <w:tcBorders>
              <w:left w:val="single" w:sz="4" w:space="0" w:color="000000"/>
              <w:bottom w:val="single" w:sz="4" w:space="0" w:color="000000"/>
              <w:right w:val="single" w:sz="4" w:space="0" w:color="000000"/>
            </w:tcBorders>
            <w:shd w:val="clear" w:color="auto" w:fill="auto"/>
            <w:vAlign w:val="center"/>
          </w:tcPr>
          <w:p w:rsidR="009F20A3" w:rsidRPr="00B40A30" w:rsidRDefault="0018241B" w:rsidP="00835079">
            <w:pPr>
              <w:jc w:val="center"/>
              <w:rPr>
                <w:rFonts w:eastAsia="Calibri"/>
                <w:sz w:val="18"/>
                <w:szCs w:val="18"/>
              </w:rPr>
            </w:pPr>
            <w:r w:rsidRPr="00B40A30">
              <w:rPr>
                <w:rFonts w:eastAsia="Calibri"/>
                <w:sz w:val="18"/>
                <w:szCs w:val="18"/>
              </w:rPr>
              <w:t>No. of Province</w:t>
            </w:r>
          </w:p>
        </w:tc>
        <w:tc>
          <w:tcPr>
            <w:tcW w:w="1274" w:type="dxa"/>
            <w:tcBorders>
              <w:left w:val="single" w:sz="4" w:space="0" w:color="000000"/>
              <w:bottom w:val="single" w:sz="4" w:space="0" w:color="000000"/>
              <w:right w:val="single" w:sz="4" w:space="0" w:color="000000"/>
            </w:tcBorders>
            <w:shd w:val="clear" w:color="auto" w:fill="auto"/>
            <w:vAlign w:val="center"/>
          </w:tcPr>
          <w:p w:rsidR="009F20A3" w:rsidRPr="00B40A30" w:rsidRDefault="005206EF" w:rsidP="00835079">
            <w:pPr>
              <w:jc w:val="center"/>
              <w:rPr>
                <w:rFonts w:eastAsia="Calibri"/>
                <w:sz w:val="18"/>
                <w:szCs w:val="18"/>
              </w:rPr>
            </w:pPr>
            <w:r w:rsidRPr="00B40A30">
              <w:rPr>
                <w:rFonts w:eastAsia="Calibri"/>
                <w:sz w:val="18"/>
                <w:szCs w:val="18"/>
              </w:rPr>
              <w:t>No. of C</w:t>
            </w:r>
            <w:r w:rsidR="00F009E7" w:rsidRPr="00B40A30">
              <w:rPr>
                <w:rFonts w:eastAsia="Calibri"/>
                <w:sz w:val="18"/>
                <w:szCs w:val="18"/>
              </w:rPr>
              <w:t>attles</w:t>
            </w:r>
            <w:r w:rsidR="009F20A3" w:rsidRPr="00B40A30">
              <w:rPr>
                <w:rFonts w:eastAsia="Calibri"/>
                <w:sz w:val="18"/>
                <w:szCs w:val="18"/>
              </w:rPr>
              <w:t xml:space="preserve"> (</w:t>
            </w:r>
            <w:r w:rsidRPr="00B40A30">
              <w:rPr>
                <w:rFonts w:eastAsia="Calibri"/>
                <w:sz w:val="18"/>
                <w:szCs w:val="18"/>
              </w:rPr>
              <w:t>Tails</w:t>
            </w:r>
            <w:r w:rsidR="009F20A3" w:rsidRPr="00B40A30">
              <w:rPr>
                <w:rFonts w:eastAsia="Calibri"/>
                <w:sz w:val="18"/>
                <w:szCs w:val="18"/>
              </w:rPr>
              <w:t>)</w:t>
            </w:r>
          </w:p>
        </w:tc>
        <w:tc>
          <w:tcPr>
            <w:tcW w:w="1653" w:type="dxa"/>
            <w:tcBorders>
              <w:left w:val="single" w:sz="4" w:space="0" w:color="000000"/>
              <w:bottom w:val="single" w:sz="4" w:space="0" w:color="000000"/>
              <w:right w:val="single" w:sz="4" w:space="0" w:color="000000"/>
            </w:tcBorders>
            <w:shd w:val="clear" w:color="auto" w:fill="auto"/>
            <w:vAlign w:val="center"/>
          </w:tcPr>
          <w:p w:rsidR="009F20A3" w:rsidRPr="00B40A30" w:rsidRDefault="005206EF" w:rsidP="00835079">
            <w:pPr>
              <w:jc w:val="center"/>
              <w:rPr>
                <w:rFonts w:eastAsia="Calibri"/>
                <w:sz w:val="18"/>
                <w:szCs w:val="18"/>
              </w:rPr>
            </w:pPr>
            <w:r w:rsidRPr="00B40A30">
              <w:rPr>
                <w:rFonts w:eastAsia="Calibri"/>
                <w:sz w:val="18"/>
                <w:szCs w:val="18"/>
              </w:rPr>
              <w:t xml:space="preserve"> </w:t>
            </w:r>
            <w:r w:rsidR="009F20A3" w:rsidRPr="00B40A30">
              <w:rPr>
                <w:rFonts w:eastAsia="Calibri"/>
                <w:sz w:val="18"/>
                <w:szCs w:val="18"/>
              </w:rPr>
              <w:t xml:space="preserve">Minimal </w:t>
            </w:r>
            <w:r w:rsidRPr="00B40A30">
              <w:rPr>
                <w:rFonts w:eastAsia="Calibri"/>
                <w:sz w:val="18"/>
                <w:szCs w:val="18"/>
              </w:rPr>
              <w:t>Potential of C</w:t>
            </w:r>
            <w:r w:rsidR="00F009E7" w:rsidRPr="00B40A30">
              <w:rPr>
                <w:rFonts w:eastAsia="Calibri"/>
                <w:sz w:val="18"/>
                <w:szCs w:val="18"/>
              </w:rPr>
              <w:t>attle’s</w:t>
            </w:r>
            <w:r w:rsidRPr="00B40A30">
              <w:rPr>
                <w:rFonts w:eastAsia="Calibri"/>
                <w:sz w:val="18"/>
                <w:szCs w:val="18"/>
              </w:rPr>
              <w:t xml:space="preserve"> Manure</w:t>
            </w:r>
            <w:r w:rsidR="009F20A3" w:rsidRPr="00B40A30">
              <w:rPr>
                <w:rFonts w:eastAsia="Calibri"/>
                <w:sz w:val="18"/>
                <w:szCs w:val="18"/>
              </w:rPr>
              <w:t xml:space="preserve"> (kg/</w:t>
            </w:r>
            <w:r w:rsidRPr="00B40A30">
              <w:rPr>
                <w:rFonts w:eastAsia="Calibri"/>
                <w:sz w:val="18"/>
                <w:szCs w:val="18"/>
              </w:rPr>
              <w:t>day</w:t>
            </w:r>
            <w:r w:rsidR="009F20A3" w:rsidRPr="00B40A30">
              <w:rPr>
                <w:rFonts w:eastAsia="Calibri"/>
                <w:sz w:val="18"/>
                <w:szCs w:val="18"/>
              </w:rPr>
              <w:t>) (a)</w:t>
            </w:r>
          </w:p>
        </w:tc>
      </w:tr>
      <w:tr w:rsidR="005206EF" w:rsidRPr="005206EF" w:rsidTr="00FE5FA2">
        <w:trPr>
          <w:jc w:val="center"/>
        </w:trPr>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20A3" w:rsidRPr="00B40A30" w:rsidRDefault="0018241B" w:rsidP="00835079">
            <w:pPr>
              <w:jc w:val="center"/>
              <w:rPr>
                <w:rFonts w:eastAsia="Calibri"/>
                <w:sz w:val="18"/>
                <w:szCs w:val="18"/>
              </w:rPr>
            </w:pPr>
            <w:r w:rsidRPr="00B40A30">
              <w:rPr>
                <w:rFonts w:eastAsia="Calibri"/>
                <w:sz w:val="18"/>
                <w:szCs w:val="18"/>
              </w:rPr>
              <w:t>Dairy</w:t>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20A3" w:rsidRPr="00B40A30" w:rsidRDefault="009F20A3" w:rsidP="00835079">
            <w:pPr>
              <w:jc w:val="center"/>
              <w:rPr>
                <w:rFonts w:eastAsia="Calibri"/>
                <w:sz w:val="18"/>
                <w:szCs w:val="18"/>
              </w:rPr>
            </w:pPr>
            <w:r w:rsidRPr="00B40A30">
              <w:rPr>
                <w:rFonts w:eastAsia="Calibri"/>
                <w:sz w:val="18"/>
                <w:szCs w:val="18"/>
              </w:rPr>
              <w:t>18</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20A3" w:rsidRPr="00B40A30" w:rsidRDefault="009F20A3" w:rsidP="00835079">
            <w:pPr>
              <w:jc w:val="center"/>
              <w:rPr>
                <w:rFonts w:eastAsia="Calibri"/>
                <w:sz w:val="18"/>
                <w:szCs w:val="18"/>
              </w:rPr>
            </w:pPr>
            <w:r w:rsidRPr="00B40A30">
              <w:rPr>
                <w:rFonts w:eastAsia="Calibri"/>
                <w:sz w:val="18"/>
                <w:szCs w:val="18"/>
              </w:rPr>
              <w:t>550.100</w:t>
            </w:r>
          </w:p>
        </w:tc>
        <w:tc>
          <w:tcPr>
            <w:tcW w:w="1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20A3" w:rsidRPr="00B40A30" w:rsidRDefault="009F20A3" w:rsidP="00835079">
            <w:pPr>
              <w:jc w:val="center"/>
              <w:rPr>
                <w:rFonts w:eastAsia="Calibri"/>
                <w:sz w:val="18"/>
                <w:szCs w:val="18"/>
              </w:rPr>
            </w:pPr>
            <w:r w:rsidRPr="00B40A30">
              <w:rPr>
                <w:rFonts w:eastAsia="Calibri"/>
                <w:sz w:val="18"/>
                <w:szCs w:val="18"/>
              </w:rPr>
              <w:t>15,13X10</w:t>
            </w:r>
            <w:r w:rsidRPr="00B40A30">
              <w:rPr>
                <w:rFonts w:eastAsia="Calibri"/>
                <w:sz w:val="18"/>
                <w:szCs w:val="18"/>
                <w:vertAlign w:val="superscript"/>
              </w:rPr>
              <w:t>6</w:t>
            </w:r>
          </w:p>
        </w:tc>
      </w:tr>
      <w:tr w:rsidR="005206EF" w:rsidRPr="005206EF" w:rsidTr="00FE5FA2">
        <w:trPr>
          <w:jc w:val="center"/>
        </w:trPr>
        <w:tc>
          <w:tcPr>
            <w:tcW w:w="807" w:type="dxa"/>
            <w:tcBorders>
              <w:left w:val="single" w:sz="8" w:space="0" w:color="000000"/>
              <w:bottom w:val="single" w:sz="4" w:space="0" w:color="000000"/>
              <w:right w:val="single" w:sz="8" w:space="0" w:color="000000"/>
            </w:tcBorders>
            <w:shd w:val="clear" w:color="auto" w:fill="auto"/>
            <w:vAlign w:val="center"/>
          </w:tcPr>
          <w:p w:rsidR="009F20A3" w:rsidRPr="00B40A30" w:rsidRDefault="00F009E7" w:rsidP="00835079">
            <w:pPr>
              <w:jc w:val="center"/>
              <w:rPr>
                <w:rFonts w:eastAsia="Calibri"/>
                <w:sz w:val="18"/>
                <w:szCs w:val="18"/>
              </w:rPr>
            </w:pPr>
            <w:r w:rsidRPr="00B40A30">
              <w:rPr>
                <w:rFonts w:eastAsia="Calibri"/>
                <w:sz w:val="18"/>
                <w:szCs w:val="18"/>
              </w:rPr>
              <w:t>Beef</w:t>
            </w:r>
          </w:p>
        </w:tc>
        <w:tc>
          <w:tcPr>
            <w:tcW w:w="910" w:type="dxa"/>
            <w:tcBorders>
              <w:left w:val="single" w:sz="8" w:space="0" w:color="000000"/>
              <w:bottom w:val="single" w:sz="4" w:space="0" w:color="000000"/>
              <w:right w:val="single" w:sz="8" w:space="0" w:color="000000"/>
            </w:tcBorders>
            <w:shd w:val="clear" w:color="auto" w:fill="auto"/>
            <w:vAlign w:val="center"/>
          </w:tcPr>
          <w:p w:rsidR="009F20A3" w:rsidRPr="00B40A30" w:rsidRDefault="009F20A3" w:rsidP="00835079">
            <w:pPr>
              <w:jc w:val="center"/>
              <w:rPr>
                <w:rFonts w:eastAsia="Calibri"/>
                <w:sz w:val="18"/>
                <w:szCs w:val="18"/>
              </w:rPr>
            </w:pPr>
            <w:r w:rsidRPr="00B40A30">
              <w:rPr>
                <w:rFonts w:eastAsia="Calibri"/>
                <w:sz w:val="18"/>
                <w:szCs w:val="18"/>
              </w:rPr>
              <w:t>34</w:t>
            </w:r>
          </w:p>
        </w:tc>
        <w:tc>
          <w:tcPr>
            <w:tcW w:w="1274" w:type="dxa"/>
            <w:tcBorders>
              <w:left w:val="single" w:sz="8" w:space="0" w:color="000000"/>
              <w:bottom w:val="single" w:sz="4" w:space="0" w:color="000000"/>
              <w:right w:val="single" w:sz="8" w:space="0" w:color="000000"/>
            </w:tcBorders>
            <w:shd w:val="clear" w:color="auto" w:fill="auto"/>
            <w:vAlign w:val="center"/>
          </w:tcPr>
          <w:p w:rsidR="009F20A3" w:rsidRPr="00B40A30" w:rsidRDefault="009F20A3" w:rsidP="00835079">
            <w:pPr>
              <w:jc w:val="center"/>
              <w:rPr>
                <w:rFonts w:eastAsia="Calibri"/>
                <w:sz w:val="18"/>
                <w:szCs w:val="18"/>
              </w:rPr>
            </w:pPr>
            <w:r w:rsidRPr="00B40A30">
              <w:rPr>
                <w:rFonts w:eastAsia="Calibri"/>
                <w:sz w:val="18"/>
                <w:szCs w:val="18"/>
              </w:rPr>
              <w:t>17.050.000</w:t>
            </w:r>
          </w:p>
        </w:tc>
        <w:tc>
          <w:tcPr>
            <w:tcW w:w="1653" w:type="dxa"/>
            <w:tcBorders>
              <w:left w:val="single" w:sz="8" w:space="0" w:color="000000"/>
              <w:bottom w:val="single" w:sz="4" w:space="0" w:color="000000"/>
              <w:right w:val="single" w:sz="8" w:space="0" w:color="000000"/>
            </w:tcBorders>
            <w:shd w:val="clear" w:color="auto" w:fill="auto"/>
            <w:vAlign w:val="center"/>
          </w:tcPr>
          <w:p w:rsidR="009F20A3" w:rsidRPr="00B40A30" w:rsidRDefault="009F20A3" w:rsidP="00835079">
            <w:pPr>
              <w:jc w:val="center"/>
              <w:rPr>
                <w:rFonts w:eastAsia="Calibri"/>
                <w:sz w:val="18"/>
                <w:szCs w:val="18"/>
                <w:vertAlign w:val="superscript"/>
              </w:rPr>
            </w:pPr>
            <w:r w:rsidRPr="00B40A30">
              <w:rPr>
                <w:rFonts w:eastAsia="Calibri"/>
                <w:sz w:val="18"/>
                <w:szCs w:val="18"/>
              </w:rPr>
              <w:t>468,9x10</w:t>
            </w:r>
            <w:r w:rsidRPr="00B40A30">
              <w:rPr>
                <w:rFonts w:eastAsia="Calibri"/>
                <w:sz w:val="18"/>
                <w:szCs w:val="18"/>
                <w:vertAlign w:val="superscript"/>
              </w:rPr>
              <w:t>6</w:t>
            </w:r>
          </w:p>
        </w:tc>
      </w:tr>
      <w:tr w:rsidR="005206EF" w:rsidRPr="005206EF" w:rsidTr="00FE5FA2">
        <w:trPr>
          <w:jc w:val="center"/>
        </w:trPr>
        <w:tc>
          <w:tcPr>
            <w:tcW w:w="807" w:type="dxa"/>
            <w:tcBorders>
              <w:top w:val="single" w:sz="4" w:space="0" w:color="000000"/>
              <w:right w:val="single" w:sz="4" w:space="0" w:color="000000"/>
            </w:tcBorders>
            <w:shd w:val="clear" w:color="auto" w:fill="auto"/>
          </w:tcPr>
          <w:p w:rsidR="009F20A3" w:rsidRPr="005206EF" w:rsidRDefault="009F20A3" w:rsidP="00835079">
            <w:pPr>
              <w:jc w:val="center"/>
              <w:rPr>
                <w:rFonts w:eastAsia="Calibri"/>
                <w:sz w:val="18"/>
                <w:szCs w:val="18"/>
              </w:rPr>
            </w:pPr>
          </w:p>
        </w:tc>
        <w:tc>
          <w:tcPr>
            <w:tcW w:w="910" w:type="dxa"/>
            <w:tcBorders>
              <w:left w:val="single" w:sz="4" w:space="0" w:color="000000"/>
              <w:bottom w:val="single" w:sz="4" w:space="0" w:color="000000"/>
              <w:right w:val="single" w:sz="4" w:space="0" w:color="000000"/>
            </w:tcBorders>
            <w:shd w:val="clear" w:color="auto" w:fill="auto"/>
          </w:tcPr>
          <w:p w:rsidR="009F20A3" w:rsidRPr="005206EF" w:rsidRDefault="009F20A3" w:rsidP="00835079">
            <w:pPr>
              <w:jc w:val="center"/>
              <w:rPr>
                <w:rFonts w:eastAsia="Calibri"/>
                <w:sz w:val="18"/>
                <w:szCs w:val="18"/>
              </w:rPr>
            </w:pPr>
            <w:r w:rsidRPr="005206EF">
              <w:rPr>
                <w:rFonts w:eastAsia="Calibri"/>
                <w:sz w:val="18"/>
                <w:szCs w:val="18"/>
              </w:rPr>
              <w:t>Total</w:t>
            </w:r>
          </w:p>
        </w:tc>
        <w:tc>
          <w:tcPr>
            <w:tcW w:w="1274" w:type="dxa"/>
            <w:tcBorders>
              <w:left w:val="single" w:sz="4" w:space="0" w:color="000000"/>
              <w:bottom w:val="single" w:sz="4" w:space="0" w:color="000000"/>
              <w:right w:val="single" w:sz="4" w:space="0" w:color="000000"/>
            </w:tcBorders>
            <w:shd w:val="clear" w:color="auto" w:fill="auto"/>
          </w:tcPr>
          <w:p w:rsidR="009F20A3" w:rsidRPr="005206EF" w:rsidRDefault="009F20A3" w:rsidP="00835079">
            <w:pPr>
              <w:jc w:val="center"/>
              <w:rPr>
                <w:rFonts w:eastAsia="Calibri"/>
                <w:sz w:val="18"/>
                <w:szCs w:val="18"/>
              </w:rPr>
            </w:pPr>
            <w:r w:rsidRPr="005206EF">
              <w:rPr>
                <w:rFonts w:eastAsia="Calibri"/>
                <w:sz w:val="18"/>
                <w:szCs w:val="18"/>
              </w:rPr>
              <w:t>17.600.100</w:t>
            </w:r>
          </w:p>
        </w:tc>
        <w:tc>
          <w:tcPr>
            <w:tcW w:w="1653" w:type="dxa"/>
            <w:tcBorders>
              <w:left w:val="single" w:sz="4" w:space="0" w:color="000000"/>
              <w:bottom w:val="single" w:sz="4" w:space="0" w:color="000000"/>
              <w:right w:val="single" w:sz="4" w:space="0" w:color="000000"/>
            </w:tcBorders>
            <w:shd w:val="clear" w:color="auto" w:fill="auto"/>
          </w:tcPr>
          <w:p w:rsidR="009F20A3" w:rsidRPr="005206EF" w:rsidRDefault="009F20A3" w:rsidP="00835079">
            <w:pPr>
              <w:jc w:val="center"/>
              <w:rPr>
                <w:rFonts w:eastAsia="Calibri"/>
                <w:sz w:val="18"/>
                <w:szCs w:val="18"/>
              </w:rPr>
            </w:pPr>
            <w:r w:rsidRPr="005206EF">
              <w:rPr>
                <w:rFonts w:eastAsia="Calibri"/>
                <w:sz w:val="18"/>
                <w:szCs w:val="18"/>
              </w:rPr>
              <w:t>484,03x10</w:t>
            </w:r>
            <w:r w:rsidRPr="005206EF">
              <w:rPr>
                <w:rFonts w:eastAsia="Calibri"/>
                <w:sz w:val="18"/>
                <w:szCs w:val="18"/>
                <w:vertAlign w:val="superscript"/>
              </w:rPr>
              <w:t>6</w:t>
            </w:r>
          </w:p>
        </w:tc>
      </w:tr>
    </w:tbl>
    <w:p w:rsidR="005206EF" w:rsidRPr="005206EF" w:rsidRDefault="005206EF" w:rsidP="005206EF">
      <w:pPr>
        <w:widowControl/>
        <w:rPr>
          <w:rFonts w:eastAsia="Times New Roman"/>
          <w:snapToGrid/>
          <w:sz w:val="18"/>
          <w:szCs w:val="18"/>
          <w:lang w:val="en"/>
        </w:rPr>
      </w:pPr>
      <w:r w:rsidRPr="005206EF">
        <w:rPr>
          <w:rFonts w:eastAsia="Times New Roman"/>
          <w:snapToGrid/>
          <w:sz w:val="18"/>
          <w:szCs w:val="18"/>
          <w:lang w:val="en"/>
        </w:rPr>
        <w:t>Note:</w:t>
      </w:r>
      <w:r w:rsidRPr="005206EF">
        <w:rPr>
          <w:rFonts w:eastAsia="Times New Roman"/>
          <w:snapToGrid/>
          <w:sz w:val="18"/>
          <w:szCs w:val="18"/>
          <w:lang w:val="en"/>
        </w:rPr>
        <w:br/>
        <w:t>(a) A c</w:t>
      </w:r>
      <w:r w:rsidR="00C66EAE">
        <w:rPr>
          <w:rFonts w:eastAsia="Times New Roman"/>
          <w:snapToGrid/>
          <w:sz w:val="18"/>
          <w:szCs w:val="18"/>
          <w:lang w:val="en"/>
        </w:rPr>
        <w:t>attle</w:t>
      </w:r>
      <w:r w:rsidR="00F25C08">
        <w:rPr>
          <w:rFonts w:eastAsia="Times New Roman"/>
          <w:snapToGrid/>
          <w:sz w:val="18"/>
          <w:szCs w:val="18"/>
          <w:lang w:val="en"/>
        </w:rPr>
        <w:t xml:space="preserve"> can produce 25-30 kg of manure/</w:t>
      </w:r>
      <w:r w:rsidRPr="005206EF">
        <w:rPr>
          <w:rFonts w:eastAsia="Times New Roman"/>
          <w:snapToGrid/>
          <w:sz w:val="18"/>
          <w:szCs w:val="18"/>
          <w:lang w:val="en"/>
        </w:rPr>
        <w:t xml:space="preserve">day. </w:t>
      </w:r>
      <w:r w:rsidR="00F25C08">
        <w:rPr>
          <w:rFonts w:eastAsia="Times New Roman"/>
          <w:snapToGrid/>
          <w:sz w:val="18"/>
          <w:szCs w:val="18"/>
          <w:lang w:val="en"/>
        </w:rPr>
        <w:t>In the calculation used 27.5 kg/</w:t>
      </w:r>
      <w:r w:rsidRPr="005206EF">
        <w:rPr>
          <w:rFonts w:eastAsia="Times New Roman"/>
          <w:snapToGrid/>
          <w:sz w:val="18"/>
          <w:szCs w:val="18"/>
          <w:lang w:val="en"/>
        </w:rPr>
        <w:t>day.</w:t>
      </w:r>
    </w:p>
    <w:p w:rsidR="009F20A3" w:rsidRPr="005206EF" w:rsidRDefault="009F20A3" w:rsidP="009F20A3">
      <w:pPr>
        <w:pStyle w:val="ListParagraph"/>
        <w:ind w:left="630"/>
        <w:jc w:val="both"/>
        <w:rPr>
          <w:sz w:val="18"/>
          <w:szCs w:val="18"/>
        </w:rPr>
      </w:pPr>
    </w:p>
    <w:p w:rsidR="009F20A3" w:rsidRPr="005206EF" w:rsidRDefault="00B40A30" w:rsidP="00FE5FA2">
      <w:pPr>
        <w:rPr>
          <w:b/>
          <w:sz w:val="18"/>
          <w:szCs w:val="18"/>
        </w:rPr>
      </w:pPr>
      <w:r>
        <w:rPr>
          <w:b/>
          <w:sz w:val="18"/>
          <w:szCs w:val="18"/>
        </w:rPr>
        <w:t>2</w:t>
      </w:r>
      <w:r w:rsidR="009F20A3" w:rsidRPr="005206EF">
        <w:rPr>
          <w:b/>
          <w:sz w:val="18"/>
          <w:szCs w:val="18"/>
        </w:rPr>
        <w:t>.</w:t>
      </w:r>
      <w:r>
        <w:rPr>
          <w:b/>
          <w:sz w:val="18"/>
          <w:szCs w:val="18"/>
        </w:rPr>
        <w:t>6</w:t>
      </w:r>
      <w:r w:rsidR="009F20A3" w:rsidRPr="005206EF">
        <w:rPr>
          <w:b/>
          <w:sz w:val="18"/>
          <w:szCs w:val="18"/>
        </w:rPr>
        <w:t xml:space="preserve">.3   </w:t>
      </w:r>
      <w:r w:rsidR="005206EF">
        <w:rPr>
          <w:b/>
          <w:sz w:val="18"/>
          <w:szCs w:val="18"/>
        </w:rPr>
        <w:t xml:space="preserve">Population Growth </w:t>
      </w:r>
      <w:r w:rsidR="009F20A3" w:rsidRPr="005206EF">
        <w:rPr>
          <w:b/>
          <w:bCs/>
          <w:sz w:val="18"/>
          <w:szCs w:val="18"/>
        </w:rPr>
        <w:t>Data</w:t>
      </w:r>
      <w:r w:rsidR="009F20A3" w:rsidRPr="005206EF">
        <w:rPr>
          <w:b/>
          <w:sz w:val="18"/>
          <w:szCs w:val="18"/>
        </w:rPr>
        <w:t xml:space="preserve"> </w:t>
      </w:r>
    </w:p>
    <w:p w:rsidR="005D409C" w:rsidRPr="005D409C" w:rsidRDefault="005D409C" w:rsidP="005D409C">
      <w:pPr>
        <w:widowControl/>
        <w:rPr>
          <w:rFonts w:eastAsia="Times New Roman"/>
          <w:snapToGrid/>
          <w:sz w:val="18"/>
          <w:szCs w:val="18"/>
          <w:lang w:val="en"/>
        </w:rPr>
      </w:pPr>
      <w:r w:rsidRPr="005D409C">
        <w:rPr>
          <w:rFonts w:eastAsia="Times New Roman"/>
          <w:snapToGrid/>
          <w:sz w:val="18"/>
          <w:szCs w:val="18"/>
          <w:lang w:val="en"/>
        </w:rPr>
        <w:t xml:space="preserve">Population and family growth in Indonesia is shown in Table </w:t>
      </w:r>
      <w:r w:rsidR="00B40A30">
        <w:rPr>
          <w:rFonts w:eastAsia="Times New Roman"/>
          <w:snapToGrid/>
          <w:sz w:val="18"/>
          <w:szCs w:val="18"/>
          <w:lang w:val="en"/>
        </w:rPr>
        <w:t>2</w:t>
      </w:r>
      <w:r w:rsidRPr="005D409C">
        <w:rPr>
          <w:rFonts w:eastAsia="Times New Roman"/>
          <w:snapToGrid/>
          <w:sz w:val="18"/>
          <w:szCs w:val="18"/>
          <w:lang w:val="en"/>
        </w:rPr>
        <w:t xml:space="preserve">.10. and Table </w:t>
      </w:r>
      <w:r w:rsidR="00B40A30">
        <w:rPr>
          <w:rFonts w:eastAsia="Times New Roman"/>
          <w:snapToGrid/>
          <w:sz w:val="18"/>
          <w:szCs w:val="18"/>
          <w:lang w:val="en"/>
        </w:rPr>
        <w:t>2</w:t>
      </w:r>
      <w:r w:rsidRPr="005D409C">
        <w:rPr>
          <w:rFonts w:eastAsia="Times New Roman"/>
          <w:snapToGrid/>
          <w:sz w:val="18"/>
          <w:szCs w:val="18"/>
          <w:lang w:val="en"/>
        </w:rPr>
        <w:t>.11.</w:t>
      </w:r>
    </w:p>
    <w:p w:rsidR="009F20A3" w:rsidRPr="005206EF" w:rsidRDefault="009F20A3" w:rsidP="009F20A3">
      <w:pPr>
        <w:jc w:val="both"/>
        <w:rPr>
          <w:sz w:val="18"/>
          <w:szCs w:val="18"/>
        </w:rPr>
      </w:pPr>
    </w:p>
    <w:p w:rsidR="005D409C" w:rsidRPr="00B40A30" w:rsidRDefault="009F20A3" w:rsidP="009F20A3">
      <w:pPr>
        <w:jc w:val="center"/>
        <w:rPr>
          <w:sz w:val="18"/>
          <w:szCs w:val="18"/>
        </w:rPr>
      </w:pPr>
      <w:r w:rsidRPr="00B40A30">
        <w:rPr>
          <w:sz w:val="18"/>
          <w:szCs w:val="18"/>
        </w:rPr>
        <w:t>Tabl</w:t>
      </w:r>
      <w:r w:rsidR="005D409C" w:rsidRPr="00B40A30">
        <w:rPr>
          <w:sz w:val="18"/>
          <w:szCs w:val="18"/>
        </w:rPr>
        <w:t>e</w:t>
      </w:r>
      <w:r w:rsidR="00B40A30" w:rsidRPr="00B40A30">
        <w:rPr>
          <w:sz w:val="18"/>
          <w:szCs w:val="18"/>
        </w:rPr>
        <w:t xml:space="preserve"> 2</w:t>
      </w:r>
      <w:r w:rsidRPr="00B40A30">
        <w:rPr>
          <w:sz w:val="18"/>
          <w:szCs w:val="18"/>
        </w:rPr>
        <w:t xml:space="preserve">.10 </w:t>
      </w:r>
    </w:p>
    <w:p w:rsidR="009F20A3" w:rsidRPr="00B40A30" w:rsidRDefault="005D409C" w:rsidP="005D409C">
      <w:pPr>
        <w:jc w:val="center"/>
        <w:rPr>
          <w:sz w:val="18"/>
          <w:szCs w:val="18"/>
        </w:rPr>
      </w:pPr>
      <w:r w:rsidRPr="00B40A30">
        <w:rPr>
          <w:sz w:val="18"/>
          <w:szCs w:val="18"/>
        </w:rPr>
        <w:t xml:space="preserve">Indonesian Population Growth </w:t>
      </w:r>
      <w:r w:rsidR="009F20A3" w:rsidRPr="00B40A30">
        <w:rPr>
          <w:sz w:val="18"/>
          <w:szCs w:val="18"/>
        </w:rPr>
        <w:t>Data</w:t>
      </w:r>
      <w:r w:rsidRPr="00B40A30">
        <w:rPr>
          <w:sz w:val="18"/>
          <w:szCs w:val="18"/>
        </w:rPr>
        <w:t xml:space="preserve"> </w:t>
      </w:r>
      <w:r w:rsidR="009F20A3" w:rsidRPr="00B40A30">
        <w:rPr>
          <w:sz w:val="18"/>
          <w:szCs w:val="18"/>
        </w:rPr>
        <w:t>2018-2025</w:t>
      </w:r>
      <w:r w:rsidRPr="00B40A30">
        <w:rPr>
          <w:sz w:val="18"/>
          <w:szCs w:val="18"/>
        </w:rPr>
        <w:t xml:space="preserve"> </w:t>
      </w:r>
      <w:r w:rsidR="009F20A3" w:rsidRPr="00B40A30">
        <w:rPr>
          <w:sz w:val="18"/>
          <w:szCs w:val="18"/>
        </w:rPr>
        <w:t>(</w:t>
      </w:r>
      <w:r w:rsidRPr="00B40A30">
        <w:rPr>
          <w:sz w:val="18"/>
          <w:szCs w:val="18"/>
        </w:rPr>
        <w:t>in million</w:t>
      </w:r>
      <w:r w:rsidR="009F20A3" w:rsidRPr="00B40A30">
        <w:rPr>
          <w:sz w:val="18"/>
          <w:szCs w:val="18"/>
        </w:rPr>
        <w:t>)</w:t>
      </w:r>
    </w:p>
    <w:tbl>
      <w:tblPr>
        <w:tblW w:w="4499" w:type="dxa"/>
        <w:tblBorders>
          <w:top w:val="single" w:sz="4" w:space="0" w:color="000000"/>
          <w:left w:val="single" w:sz="8" w:space="0" w:color="000000"/>
          <w:bottom w:val="single" w:sz="4" w:space="0" w:color="000000"/>
          <w:right w:val="single" w:sz="8" w:space="0" w:color="000000"/>
          <w:insideH w:val="single" w:sz="4" w:space="0" w:color="000000"/>
          <w:insideV w:val="single" w:sz="8" w:space="0" w:color="000000"/>
        </w:tblBorders>
        <w:tblLayout w:type="fixed"/>
        <w:tblLook w:val="04A0" w:firstRow="1" w:lastRow="0" w:firstColumn="1" w:lastColumn="0" w:noHBand="0" w:noVBand="1"/>
      </w:tblPr>
      <w:tblGrid>
        <w:gridCol w:w="433"/>
        <w:gridCol w:w="488"/>
        <w:gridCol w:w="515"/>
        <w:gridCol w:w="488"/>
        <w:gridCol w:w="515"/>
        <w:gridCol w:w="515"/>
        <w:gridCol w:w="515"/>
        <w:gridCol w:w="515"/>
        <w:gridCol w:w="515"/>
      </w:tblGrid>
      <w:tr w:rsidR="009F20A3" w:rsidRPr="00FE5FA2" w:rsidTr="00FE5FA2">
        <w:tc>
          <w:tcPr>
            <w:tcW w:w="433" w:type="dxa"/>
            <w:shd w:val="clear" w:color="auto" w:fill="auto"/>
          </w:tcPr>
          <w:p w:rsidR="009F20A3" w:rsidRPr="00FE5FA2" w:rsidRDefault="009F20A3" w:rsidP="00FE5FA2">
            <w:pPr>
              <w:ind w:left="-106" w:right="-117"/>
              <w:jc w:val="center"/>
              <w:rPr>
                <w:rFonts w:eastAsia="Calibri"/>
                <w:sz w:val="18"/>
                <w:szCs w:val="18"/>
              </w:rPr>
            </w:pPr>
            <w:r w:rsidRPr="00FE5FA2">
              <w:rPr>
                <w:rFonts w:eastAsia="Calibri"/>
                <w:sz w:val="18"/>
                <w:szCs w:val="18"/>
              </w:rPr>
              <w:t>2017</w:t>
            </w:r>
          </w:p>
        </w:tc>
        <w:tc>
          <w:tcPr>
            <w:tcW w:w="488" w:type="dxa"/>
            <w:shd w:val="clear" w:color="auto" w:fill="auto"/>
            <w:vAlign w:val="center"/>
          </w:tcPr>
          <w:p w:rsidR="009F20A3" w:rsidRPr="00FE5FA2" w:rsidRDefault="009F20A3" w:rsidP="00FE5FA2">
            <w:pPr>
              <w:ind w:left="-106" w:right="-117"/>
              <w:jc w:val="center"/>
              <w:rPr>
                <w:rFonts w:eastAsia="Calibri"/>
                <w:sz w:val="18"/>
                <w:szCs w:val="18"/>
              </w:rPr>
            </w:pPr>
            <w:r w:rsidRPr="00FE5FA2">
              <w:rPr>
                <w:rFonts w:eastAsia="Calibri"/>
                <w:sz w:val="18"/>
                <w:szCs w:val="18"/>
              </w:rPr>
              <w:t>2018</w:t>
            </w:r>
          </w:p>
        </w:tc>
        <w:tc>
          <w:tcPr>
            <w:tcW w:w="515" w:type="dxa"/>
            <w:shd w:val="clear" w:color="auto" w:fill="auto"/>
            <w:vAlign w:val="center"/>
          </w:tcPr>
          <w:p w:rsidR="009F20A3" w:rsidRPr="00FE5FA2" w:rsidRDefault="009F20A3" w:rsidP="00FE5FA2">
            <w:pPr>
              <w:ind w:left="-106" w:right="-117"/>
              <w:jc w:val="center"/>
              <w:rPr>
                <w:rFonts w:eastAsia="Calibri"/>
                <w:sz w:val="18"/>
                <w:szCs w:val="18"/>
              </w:rPr>
            </w:pPr>
            <w:r w:rsidRPr="00FE5FA2">
              <w:rPr>
                <w:rFonts w:eastAsia="Calibri"/>
                <w:sz w:val="18"/>
                <w:szCs w:val="18"/>
              </w:rPr>
              <w:t>2019</w:t>
            </w:r>
          </w:p>
        </w:tc>
        <w:tc>
          <w:tcPr>
            <w:tcW w:w="488" w:type="dxa"/>
            <w:shd w:val="clear" w:color="auto" w:fill="auto"/>
            <w:vAlign w:val="center"/>
          </w:tcPr>
          <w:p w:rsidR="009F20A3" w:rsidRPr="00FE5FA2" w:rsidRDefault="009F20A3" w:rsidP="00FE5FA2">
            <w:pPr>
              <w:ind w:left="-106" w:right="-117"/>
              <w:jc w:val="center"/>
              <w:rPr>
                <w:rFonts w:eastAsia="Calibri"/>
                <w:sz w:val="18"/>
                <w:szCs w:val="18"/>
              </w:rPr>
            </w:pPr>
            <w:r w:rsidRPr="00FE5FA2">
              <w:rPr>
                <w:rFonts w:eastAsia="Calibri"/>
                <w:sz w:val="18"/>
                <w:szCs w:val="18"/>
              </w:rPr>
              <w:t>2020</w:t>
            </w:r>
          </w:p>
        </w:tc>
        <w:tc>
          <w:tcPr>
            <w:tcW w:w="515" w:type="dxa"/>
            <w:shd w:val="clear" w:color="auto" w:fill="auto"/>
            <w:vAlign w:val="center"/>
          </w:tcPr>
          <w:p w:rsidR="009F20A3" w:rsidRPr="00FE5FA2" w:rsidRDefault="009F20A3" w:rsidP="00FE5FA2">
            <w:pPr>
              <w:ind w:left="-106" w:right="-117"/>
              <w:jc w:val="center"/>
              <w:rPr>
                <w:rFonts w:eastAsia="Calibri"/>
                <w:sz w:val="18"/>
                <w:szCs w:val="18"/>
              </w:rPr>
            </w:pPr>
            <w:r w:rsidRPr="00FE5FA2">
              <w:rPr>
                <w:rFonts w:eastAsia="Calibri"/>
                <w:sz w:val="18"/>
                <w:szCs w:val="18"/>
              </w:rPr>
              <w:t>2021</w:t>
            </w:r>
          </w:p>
        </w:tc>
        <w:tc>
          <w:tcPr>
            <w:tcW w:w="515" w:type="dxa"/>
            <w:shd w:val="clear" w:color="auto" w:fill="auto"/>
            <w:vAlign w:val="center"/>
          </w:tcPr>
          <w:p w:rsidR="009F20A3" w:rsidRPr="00FE5FA2" w:rsidRDefault="009F20A3" w:rsidP="00FE5FA2">
            <w:pPr>
              <w:ind w:left="-106" w:right="-117"/>
              <w:jc w:val="center"/>
              <w:rPr>
                <w:rFonts w:eastAsia="Calibri"/>
                <w:sz w:val="18"/>
                <w:szCs w:val="18"/>
              </w:rPr>
            </w:pPr>
            <w:r w:rsidRPr="00FE5FA2">
              <w:rPr>
                <w:rFonts w:eastAsia="Calibri"/>
                <w:sz w:val="18"/>
                <w:szCs w:val="18"/>
              </w:rPr>
              <w:t>2022</w:t>
            </w:r>
          </w:p>
        </w:tc>
        <w:tc>
          <w:tcPr>
            <w:tcW w:w="515" w:type="dxa"/>
            <w:shd w:val="clear" w:color="auto" w:fill="auto"/>
            <w:vAlign w:val="center"/>
          </w:tcPr>
          <w:p w:rsidR="009F20A3" w:rsidRPr="00FE5FA2" w:rsidRDefault="009F20A3" w:rsidP="00FE5FA2">
            <w:pPr>
              <w:ind w:left="-106" w:right="-117"/>
              <w:jc w:val="center"/>
              <w:rPr>
                <w:rFonts w:eastAsia="Calibri"/>
                <w:sz w:val="18"/>
                <w:szCs w:val="18"/>
              </w:rPr>
            </w:pPr>
            <w:r w:rsidRPr="00FE5FA2">
              <w:rPr>
                <w:rFonts w:eastAsia="Calibri"/>
                <w:sz w:val="18"/>
                <w:szCs w:val="18"/>
              </w:rPr>
              <w:t>2023</w:t>
            </w:r>
          </w:p>
        </w:tc>
        <w:tc>
          <w:tcPr>
            <w:tcW w:w="515" w:type="dxa"/>
            <w:shd w:val="clear" w:color="auto" w:fill="auto"/>
            <w:vAlign w:val="center"/>
          </w:tcPr>
          <w:p w:rsidR="009F20A3" w:rsidRPr="00FE5FA2" w:rsidRDefault="009F20A3" w:rsidP="00FE5FA2">
            <w:pPr>
              <w:ind w:left="-106" w:right="-117"/>
              <w:jc w:val="center"/>
              <w:rPr>
                <w:rFonts w:eastAsia="Calibri"/>
                <w:sz w:val="18"/>
                <w:szCs w:val="18"/>
              </w:rPr>
            </w:pPr>
            <w:r w:rsidRPr="00FE5FA2">
              <w:rPr>
                <w:rFonts w:eastAsia="Calibri"/>
                <w:sz w:val="18"/>
                <w:szCs w:val="18"/>
              </w:rPr>
              <w:t>2024</w:t>
            </w:r>
          </w:p>
        </w:tc>
        <w:tc>
          <w:tcPr>
            <w:tcW w:w="515" w:type="dxa"/>
            <w:shd w:val="clear" w:color="auto" w:fill="auto"/>
            <w:vAlign w:val="center"/>
          </w:tcPr>
          <w:p w:rsidR="009F20A3" w:rsidRPr="00FE5FA2" w:rsidRDefault="009F20A3" w:rsidP="00FE5FA2">
            <w:pPr>
              <w:ind w:left="-106" w:right="-117"/>
              <w:jc w:val="center"/>
              <w:rPr>
                <w:rFonts w:eastAsia="Calibri"/>
                <w:sz w:val="18"/>
                <w:szCs w:val="18"/>
              </w:rPr>
            </w:pPr>
            <w:r w:rsidRPr="00FE5FA2">
              <w:rPr>
                <w:rFonts w:eastAsia="Calibri"/>
                <w:sz w:val="18"/>
                <w:szCs w:val="18"/>
              </w:rPr>
              <w:t>2025</w:t>
            </w:r>
          </w:p>
        </w:tc>
      </w:tr>
      <w:tr w:rsidR="009F20A3" w:rsidRPr="00FE5FA2" w:rsidTr="00FE5FA2">
        <w:tc>
          <w:tcPr>
            <w:tcW w:w="433" w:type="dxa"/>
            <w:shd w:val="clear" w:color="auto" w:fill="auto"/>
          </w:tcPr>
          <w:p w:rsidR="009F20A3" w:rsidRPr="00FE5FA2" w:rsidRDefault="009F20A3" w:rsidP="00FE5FA2">
            <w:pPr>
              <w:ind w:left="-106" w:right="-117"/>
              <w:jc w:val="center"/>
              <w:rPr>
                <w:rFonts w:eastAsia="Calibri"/>
                <w:sz w:val="18"/>
                <w:szCs w:val="18"/>
              </w:rPr>
            </w:pPr>
            <w:r w:rsidRPr="00FE5FA2">
              <w:rPr>
                <w:rFonts w:eastAsia="Calibri"/>
                <w:sz w:val="18"/>
                <w:szCs w:val="18"/>
              </w:rPr>
              <w:t>261,7</w:t>
            </w:r>
          </w:p>
        </w:tc>
        <w:tc>
          <w:tcPr>
            <w:tcW w:w="488" w:type="dxa"/>
            <w:shd w:val="clear" w:color="auto" w:fill="auto"/>
            <w:vAlign w:val="center"/>
          </w:tcPr>
          <w:p w:rsidR="009F20A3" w:rsidRPr="00FE5FA2" w:rsidRDefault="009F20A3" w:rsidP="00FE5FA2">
            <w:pPr>
              <w:ind w:left="-106" w:right="-117"/>
              <w:jc w:val="center"/>
              <w:rPr>
                <w:rFonts w:eastAsia="Calibri"/>
                <w:sz w:val="18"/>
                <w:szCs w:val="18"/>
              </w:rPr>
            </w:pPr>
            <w:r w:rsidRPr="00FE5FA2">
              <w:rPr>
                <w:rFonts w:eastAsia="Calibri"/>
                <w:sz w:val="18"/>
                <w:szCs w:val="18"/>
              </w:rPr>
              <w:t>264,8</w:t>
            </w:r>
          </w:p>
        </w:tc>
        <w:tc>
          <w:tcPr>
            <w:tcW w:w="515" w:type="dxa"/>
            <w:shd w:val="clear" w:color="auto" w:fill="auto"/>
            <w:vAlign w:val="center"/>
          </w:tcPr>
          <w:p w:rsidR="009F20A3" w:rsidRPr="00FE5FA2" w:rsidRDefault="009F20A3" w:rsidP="00FE5FA2">
            <w:pPr>
              <w:ind w:left="-106" w:right="-117"/>
              <w:jc w:val="center"/>
              <w:rPr>
                <w:rFonts w:eastAsia="Calibri"/>
                <w:sz w:val="18"/>
                <w:szCs w:val="18"/>
              </w:rPr>
            </w:pPr>
            <w:r w:rsidRPr="00FE5FA2">
              <w:rPr>
                <w:rFonts w:eastAsia="Calibri"/>
                <w:sz w:val="18"/>
                <w:szCs w:val="18"/>
              </w:rPr>
              <w:t>267,9</w:t>
            </w:r>
          </w:p>
        </w:tc>
        <w:tc>
          <w:tcPr>
            <w:tcW w:w="488" w:type="dxa"/>
            <w:shd w:val="clear" w:color="auto" w:fill="auto"/>
            <w:vAlign w:val="center"/>
          </w:tcPr>
          <w:p w:rsidR="009F20A3" w:rsidRPr="00FE5FA2" w:rsidRDefault="009F20A3" w:rsidP="00FE5FA2">
            <w:pPr>
              <w:ind w:left="-106" w:right="-117"/>
              <w:jc w:val="center"/>
              <w:rPr>
                <w:rFonts w:eastAsia="Calibri"/>
                <w:sz w:val="18"/>
                <w:szCs w:val="18"/>
              </w:rPr>
            </w:pPr>
            <w:r w:rsidRPr="00FE5FA2">
              <w:rPr>
                <w:rFonts w:eastAsia="Calibri"/>
                <w:sz w:val="18"/>
                <w:szCs w:val="18"/>
              </w:rPr>
              <w:t>271,1</w:t>
            </w:r>
          </w:p>
        </w:tc>
        <w:tc>
          <w:tcPr>
            <w:tcW w:w="515" w:type="dxa"/>
            <w:shd w:val="clear" w:color="auto" w:fill="auto"/>
            <w:vAlign w:val="center"/>
          </w:tcPr>
          <w:p w:rsidR="009F20A3" w:rsidRPr="00FE5FA2" w:rsidRDefault="009F20A3" w:rsidP="00FE5FA2">
            <w:pPr>
              <w:ind w:left="-106" w:right="-117"/>
              <w:jc w:val="center"/>
              <w:rPr>
                <w:rFonts w:eastAsia="Calibri"/>
                <w:sz w:val="18"/>
                <w:szCs w:val="18"/>
              </w:rPr>
            </w:pPr>
            <w:r w:rsidRPr="00FE5FA2">
              <w:rPr>
                <w:rFonts w:eastAsia="Calibri"/>
                <w:sz w:val="18"/>
                <w:szCs w:val="18"/>
              </w:rPr>
              <w:t>273,8</w:t>
            </w:r>
          </w:p>
        </w:tc>
        <w:tc>
          <w:tcPr>
            <w:tcW w:w="515" w:type="dxa"/>
            <w:shd w:val="clear" w:color="auto" w:fill="auto"/>
            <w:vAlign w:val="center"/>
          </w:tcPr>
          <w:p w:rsidR="009F20A3" w:rsidRPr="00FE5FA2" w:rsidRDefault="009F20A3" w:rsidP="00FE5FA2">
            <w:pPr>
              <w:ind w:left="-106" w:right="-117"/>
              <w:jc w:val="center"/>
              <w:rPr>
                <w:rFonts w:eastAsia="Calibri"/>
                <w:sz w:val="18"/>
                <w:szCs w:val="18"/>
              </w:rPr>
            </w:pPr>
            <w:r w:rsidRPr="00FE5FA2">
              <w:rPr>
                <w:rFonts w:eastAsia="Calibri"/>
                <w:sz w:val="18"/>
                <w:szCs w:val="18"/>
              </w:rPr>
              <w:t>276,6</w:t>
            </w:r>
          </w:p>
        </w:tc>
        <w:tc>
          <w:tcPr>
            <w:tcW w:w="515" w:type="dxa"/>
            <w:shd w:val="clear" w:color="auto" w:fill="auto"/>
            <w:vAlign w:val="center"/>
          </w:tcPr>
          <w:p w:rsidR="009F20A3" w:rsidRPr="00FE5FA2" w:rsidRDefault="009F20A3" w:rsidP="00FE5FA2">
            <w:pPr>
              <w:ind w:left="-106" w:right="-117"/>
              <w:jc w:val="center"/>
              <w:rPr>
                <w:rFonts w:eastAsia="Calibri"/>
                <w:sz w:val="18"/>
                <w:szCs w:val="18"/>
              </w:rPr>
            </w:pPr>
            <w:r w:rsidRPr="00FE5FA2">
              <w:rPr>
                <w:rFonts w:eastAsia="Calibri"/>
                <w:sz w:val="18"/>
                <w:szCs w:val="18"/>
              </w:rPr>
              <w:t>279,3</w:t>
            </w:r>
          </w:p>
        </w:tc>
        <w:tc>
          <w:tcPr>
            <w:tcW w:w="515" w:type="dxa"/>
            <w:shd w:val="clear" w:color="auto" w:fill="auto"/>
            <w:vAlign w:val="center"/>
          </w:tcPr>
          <w:p w:rsidR="009F20A3" w:rsidRPr="00FE5FA2" w:rsidRDefault="009F20A3" w:rsidP="00FE5FA2">
            <w:pPr>
              <w:ind w:left="-106" w:right="-117"/>
              <w:jc w:val="center"/>
              <w:rPr>
                <w:rFonts w:eastAsia="Calibri"/>
                <w:sz w:val="18"/>
                <w:szCs w:val="18"/>
              </w:rPr>
            </w:pPr>
            <w:r w:rsidRPr="00FE5FA2">
              <w:rPr>
                <w:rFonts w:eastAsia="Calibri"/>
                <w:sz w:val="18"/>
                <w:szCs w:val="18"/>
              </w:rPr>
              <w:t>282,1</w:t>
            </w:r>
          </w:p>
        </w:tc>
        <w:tc>
          <w:tcPr>
            <w:tcW w:w="515" w:type="dxa"/>
            <w:shd w:val="clear" w:color="auto" w:fill="auto"/>
            <w:vAlign w:val="center"/>
          </w:tcPr>
          <w:p w:rsidR="009F20A3" w:rsidRPr="00FE5FA2" w:rsidRDefault="009F20A3" w:rsidP="00FE5FA2">
            <w:pPr>
              <w:ind w:left="-106" w:right="-117"/>
              <w:jc w:val="center"/>
              <w:rPr>
                <w:rFonts w:eastAsia="Calibri"/>
                <w:sz w:val="18"/>
                <w:szCs w:val="18"/>
              </w:rPr>
            </w:pPr>
            <w:r w:rsidRPr="00FE5FA2">
              <w:rPr>
                <w:rFonts w:eastAsia="Calibri"/>
                <w:sz w:val="18"/>
                <w:szCs w:val="18"/>
              </w:rPr>
              <w:t>284.8</w:t>
            </w:r>
          </w:p>
        </w:tc>
      </w:tr>
    </w:tbl>
    <w:p w:rsidR="005D409C" w:rsidRPr="005D409C" w:rsidRDefault="005D409C" w:rsidP="005D409C">
      <w:pPr>
        <w:widowControl/>
        <w:jc w:val="both"/>
        <w:rPr>
          <w:rFonts w:eastAsia="Times New Roman"/>
          <w:snapToGrid/>
          <w:sz w:val="18"/>
          <w:szCs w:val="18"/>
          <w:lang w:val="en"/>
        </w:rPr>
      </w:pPr>
      <w:r w:rsidRPr="005D409C">
        <w:rPr>
          <w:rFonts w:eastAsia="Times New Roman"/>
          <w:snapToGrid/>
          <w:sz w:val="18"/>
          <w:szCs w:val="18"/>
          <w:lang w:val="en"/>
        </w:rPr>
        <w:t>Source: Processed from BPS Catalog data: 2101018 Indonesian Population Projection 2010-2035, Agency</w:t>
      </w:r>
      <w:r>
        <w:rPr>
          <w:rFonts w:eastAsia="Times New Roman"/>
          <w:snapToGrid/>
          <w:sz w:val="18"/>
          <w:szCs w:val="18"/>
          <w:lang w:val="en"/>
        </w:rPr>
        <w:t xml:space="preserve"> National </w:t>
      </w:r>
      <w:r w:rsidRPr="005D409C">
        <w:rPr>
          <w:rFonts w:eastAsia="Times New Roman"/>
          <w:snapToGrid/>
          <w:sz w:val="18"/>
          <w:szCs w:val="18"/>
          <w:lang w:val="en"/>
        </w:rPr>
        <w:t>Development Planning, Central Statistics Agency, United Nations Population</w:t>
      </w:r>
      <w:r>
        <w:rPr>
          <w:rFonts w:eastAsia="Times New Roman"/>
          <w:snapToGrid/>
          <w:sz w:val="18"/>
          <w:szCs w:val="18"/>
          <w:lang w:val="en"/>
        </w:rPr>
        <w:t xml:space="preserve"> </w:t>
      </w:r>
      <w:r w:rsidRPr="005D409C">
        <w:rPr>
          <w:rFonts w:eastAsia="Times New Roman"/>
          <w:snapToGrid/>
          <w:sz w:val="18"/>
          <w:szCs w:val="18"/>
          <w:lang w:val="en"/>
        </w:rPr>
        <w:t>Fund, Jakarta 2013 [</w:t>
      </w:r>
      <w:r w:rsidR="00B40A30">
        <w:rPr>
          <w:rFonts w:eastAsia="Times New Roman"/>
          <w:snapToGrid/>
          <w:sz w:val="18"/>
          <w:szCs w:val="18"/>
          <w:lang w:val="en"/>
        </w:rPr>
        <w:t>3</w:t>
      </w:r>
      <w:r w:rsidR="000217BF">
        <w:rPr>
          <w:rFonts w:eastAsia="Times New Roman"/>
          <w:snapToGrid/>
          <w:sz w:val="18"/>
          <w:szCs w:val="18"/>
          <w:lang w:val="en"/>
        </w:rPr>
        <w:t>2</w:t>
      </w:r>
      <w:r w:rsidRPr="005D409C">
        <w:rPr>
          <w:rFonts w:eastAsia="Times New Roman"/>
          <w:snapToGrid/>
          <w:sz w:val="18"/>
          <w:szCs w:val="18"/>
          <w:lang w:val="en"/>
        </w:rPr>
        <w:t>]</w:t>
      </w:r>
    </w:p>
    <w:p w:rsidR="009F20A3" w:rsidRPr="005206EF" w:rsidRDefault="009F20A3" w:rsidP="009F20A3">
      <w:pPr>
        <w:rPr>
          <w:sz w:val="18"/>
          <w:szCs w:val="18"/>
        </w:rPr>
      </w:pPr>
    </w:p>
    <w:p w:rsidR="005D409C" w:rsidRPr="00B40A30" w:rsidRDefault="005D409C" w:rsidP="009F20A3">
      <w:pPr>
        <w:jc w:val="center"/>
        <w:rPr>
          <w:sz w:val="18"/>
          <w:szCs w:val="18"/>
        </w:rPr>
      </w:pPr>
      <w:r w:rsidRPr="00B40A30">
        <w:rPr>
          <w:sz w:val="18"/>
          <w:szCs w:val="18"/>
        </w:rPr>
        <w:t>Tab</w:t>
      </w:r>
      <w:r w:rsidR="009F20A3" w:rsidRPr="00B40A30">
        <w:rPr>
          <w:sz w:val="18"/>
          <w:szCs w:val="18"/>
        </w:rPr>
        <w:t>l</w:t>
      </w:r>
      <w:r w:rsidRPr="00B40A30">
        <w:rPr>
          <w:sz w:val="18"/>
          <w:szCs w:val="18"/>
        </w:rPr>
        <w:t>e</w:t>
      </w:r>
      <w:r w:rsidR="009F20A3" w:rsidRPr="00B40A30">
        <w:rPr>
          <w:sz w:val="18"/>
          <w:szCs w:val="18"/>
        </w:rPr>
        <w:t xml:space="preserve"> </w:t>
      </w:r>
      <w:r w:rsidR="00B40A30" w:rsidRPr="00B40A30">
        <w:rPr>
          <w:sz w:val="18"/>
          <w:szCs w:val="18"/>
        </w:rPr>
        <w:t>2</w:t>
      </w:r>
      <w:r w:rsidR="009F20A3" w:rsidRPr="00B40A30">
        <w:rPr>
          <w:sz w:val="18"/>
          <w:szCs w:val="18"/>
        </w:rPr>
        <w:t xml:space="preserve">.11 </w:t>
      </w:r>
    </w:p>
    <w:p w:rsidR="009F20A3" w:rsidRPr="00B40A30" w:rsidRDefault="005D409C" w:rsidP="00693919">
      <w:pPr>
        <w:jc w:val="center"/>
        <w:rPr>
          <w:sz w:val="18"/>
          <w:szCs w:val="18"/>
        </w:rPr>
      </w:pPr>
      <w:r w:rsidRPr="00B40A30">
        <w:rPr>
          <w:sz w:val="18"/>
          <w:szCs w:val="18"/>
        </w:rPr>
        <w:t xml:space="preserve">Indonesian Family Growth </w:t>
      </w:r>
      <w:r w:rsidR="009F20A3" w:rsidRPr="00B40A30">
        <w:rPr>
          <w:sz w:val="18"/>
          <w:szCs w:val="18"/>
        </w:rPr>
        <w:t>Data 2018-2025</w:t>
      </w:r>
      <w:r w:rsidR="00693919" w:rsidRPr="00B40A30">
        <w:rPr>
          <w:sz w:val="18"/>
          <w:szCs w:val="18"/>
        </w:rPr>
        <w:t xml:space="preserve"> </w:t>
      </w:r>
      <w:r w:rsidR="009F20A3" w:rsidRPr="00B40A30">
        <w:rPr>
          <w:sz w:val="18"/>
          <w:szCs w:val="18"/>
        </w:rPr>
        <w:t>(</w:t>
      </w:r>
      <w:r w:rsidR="00693919" w:rsidRPr="00B40A30">
        <w:rPr>
          <w:sz w:val="18"/>
          <w:szCs w:val="18"/>
        </w:rPr>
        <w:t>in million</w:t>
      </w:r>
      <w:r w:rsidR="009F20A3" w:rsidRPr="00B40A30">
        <w:rPr>
          <w:sz w:val="18"/>
          <w:szCs w:val="18"/>
        </w:rPr>
        <w:t>)</w:t>
      </w:r>
    </w:p>
    <w:tbl>
      <w:tblPr>
        <w:tblW w:w="0" w:type="auto"/>
        <w:tblBorders>
          <w:top w:val="single" w:sz="4" w:space="0" w:color="000000"/>
          <w:left w:val="single" w:sz="8" w:space="0" w:color="000000"/>
          <w:bottom w:val="single" w:sz="4" w:space="0" w:color="000000"/>
          <w:right w:val="single" w:sz="8" w:space="0" w:color="000000"/>
          <w:insideH w:val="single" w:sz="4" w:space="0" w:color="000000"/>
          <w:insideV w:val="single" w:sz="8" w:space="0" w:color="000000"/>
        </w:tblBorders>
        <w:tblLook w:val="04A0" w:firstRow="1" w:lastRow="0" w:firstColumn="1" w:lastColumn="0" w:noHBand="0" w:noVBand="1"/>
      </w:tblPr>
      <w:tblGrid>
        <w:gridCol w:w="518"/>
        <w:gridCol w:w="518"/>
        <w:gridCol w:w="518"/>
        <w:gridCol w:w="518"/>
        <w:gridCol w:w="518"/>
        <w:gridCol w:w="518"/>
        <w:gridCol w:w="518"/>
        <w:gridCol w:w="518"/>
        <w:gridCol w:w="518"/>
      </w:tblGrid>
      <w:tr w:rsidR="009F20A3" w:rsidRPr="005206EF" w:rsidTr="00693919">
        <w:tc>
          <w:tcPr>
            <w:tcW w:w="519" w:type="dxa"/>
            <w:shd w:val="clear" w:color="auto" w:fill="auto"/>
          </w:tcPr>
          <w:p w:rsidR="009F20A3" w:rsidRPr="005206EF" w:rsidRDefault="009F20A3" w:rsidP="00FE5FA2">
            <w:pPr>
              <w:ind w:left="-106" w:right="-107"/>
              <w:jc w:val="center"/>
              <w:rPr>
                <w:rFonts w:eastAsia="Calibri"/>
                <w:b/>
                <w:sz w:val="18"/>
                <w:szCs w:val="18"/>
              </w:rPr>
            </w:pPr>
            <w:r w:rsidRPr="005206EF">
              <w:rPr>
                <w:rFonts w:eastAsia="Calibri"/>
                <w:b/>
                <w:sz w:val="18"/>
                <w:szCs w:val="18"/>
              </w:rPr>
              <w:t>2017</w:t>
            </w:r>
          </w:p>
        </w:tc>
        <w:tc>
          <w:tcPr>
            <w:tcW w:w="519" w:type="dxa"/>
            <w:shd w:val="clear" w:color="auto" w:fill="auto"/>
            <w:vAlign w:val="center"/>
          </w:tcPr>
          <w:p w:rsidR="009F20A3" w:rsidRPr="005206EF" w:rsidRDefault="009F20A3" w:rsidP="00FE5FA2">
            <w:pPr>
              <w:ind w:left="-106" w:right="-107"/>
              <w:jc w:val="center"/>
              <w:rPr>
                <w:rFonts w:eastAsia="Calibri"/>
                <w:b/>
                <w:sz w:val="18"/>
                <w:szCs w:val="18"/>
              </w:rPr>
            </w:pPr>
            <w:r w:rsidRPr="005206EF">
              <w:rPr>
                <w:rFonts w:eastAsia="Calibri"/>
                <w:b/>
                <w:sz w:val="18"/>
                <w:szCs w:val="18"/>
              </w:rPr>
              <w:t>2018</w:t>
            </w:r>
          </w:p>
        </w:tc>
        <w:tc>
          <w:tcPr>
            <w:tcW w:w="519" w:type="dxa"/>
            <w:shd w:val="clear" w:color="auto" w:fill="auto"/>
            <w:vAlign w:val="center"/>
          </w:tcPr>
          <w:p w:rsidR="009F20A3" w:rsidRPr="005206EF" w:rsidRDefault="009F20A3" w:rsidP="00FE5FA2">
            <w:pPr>
              <w:ind w:left="-106" w:right="-107"/>
              <w:jc w:val="center"/>
              <w:rPr>
                <w:rFonts w:eastAsia="Calibri"/>
                <w:b/>
                <w:sz w:val="18"/>
                <w:szCs w:val="18"/>
              </w:rPr>
            </w:pPr>
            <w:r w:rsidRPr="005206EF">
              <w:rPr>
                <w:rFonts w:eastAsia="Calibri"/>
                <w:b/>
                <w:sz w:val="18"/>
                <w:szCs w:val="18"/>
              </w:rPr>
              <w:t>2019</w:t>
            </w:r>
          </w:p>
        </w:tc>
        <w:tc>
          <w:tcPr>
            <w:tcW w:w="519" w:type="dxa"/>
            <w:shd w:val="clear" w:color="auto" w:fill="auto"/>
            <w:vAlign w:val="center"/>
          </w:tcPr>
          <w:p w:rsidR="009F20A3" w:rsidRPr="005206EF" w:rsidRDefault="009F20A3" w:rsidP="00FE5FA2">
            <w:pPr>
              <w:ind w:left="-106" w:right="-107"/>
              <w:jc w:val="center"/>
              <w:rPr>
                <w:rFonts w:eastAsia="Calibri"/>
                <w:b/>
                <w:sz w:val="18"/>
                <w:szCs w:val="18"/>
              </w:rPr>
            </w:pPr>
            <w:r w:rsidRPr="005206EF">
              <w:rPr>
                <w:rFonts w:eastAsia="Calibri"/>
                <w:b/>
                <w:sz w:val="18"/>
                <w:szCs w:val="18"/>
              </w:rPr>
              <w:t>2020</w:t>
            </w:r>
          </w:p>
        </w:tc>
        <w:tc>
          <w:tcPr>
            <w:tcW w:w="518" w:type="dxa"/>
            <w:shd w:val="clear" w:color="auto" w:fill="auto"/>
            <w:vAlign w:val="center"/>
          </w:tcPr>
          <w:p w:rsidR="009F20A3" w:rsidRPr="005206EF" w:rsidRDefault="009F20A3" w:rsidP="00FE5FA2">
            <w:pPr>
              <w:ind w:left="-106" w:right="-107"/>
              <w:jc w:val="center"/>
              <w:rPr>
                <w:rFonts w:eastAsia="Calibri"/>
                <w:b/>
                <w:sz w:val="18"/>
                <w:szCs w:val="18"/>
              </w:rPr>
            </w:pPr>
            <w:r w:rsidRPr="005206EF">
              <w:rPr>
                <w:rFonts w:eastAsia="Calibri"/>
                <w:b/>
                <w:sz w:val="18"/>
                <w:szCs w:val="18"/>
              </w:rPr>
              <w:t>2021</w:t>
            </w:r>
          </w:p>
        </w:tc>
        <w:tc>
          <w:tcPr>
            <w:tcW w:w="518" w:type="dxa"/>
            <w:shd w:val="clear" w:color="auto" w:fill="auto"/>
            <w:vAlign w:val="center"/>
          </w:tcPr>
          <w:p w:rsidR="009F20A3" w:rsidRPr="005206EF" w:rsidRDefault="009F20A3" w:rsidP="00FE5FA2">
            <w:pPr>
              <w:ind w:left="-106" w:right="-107"/>
              <w:jc w:val="center"/>
              <w:rPr>
                <w:rFonts w:eastAsia="Calibri"/>
                <w:b/>
                <w:sz w:val="18"/>
                <w:szCs w:val="18"/>
              </w:rPr>
            </w:pPr>
            <w:r w:rsidRPr="005206EF">
              <w:rPr>
                <w:rFonts w:eastAsia="Calibri"/>
                <w:b/>
                <w:sz w:val="18"/>
                <w:szCs w:val="18"/>
              </w:rPr>
              <w:t>2022</w:t>
            </w:r>
          </w:p>
        </w:tc>
        <w:tc>
          <w:tcPr>
            <w:tcW w:w="518" w:type="dxa"/>
            <w:shd w:val="clear" w:color="auto" w:fill="auto"/>
            <w:vAlign w:val="center"/>
          </w:tcPr>
          <w:p w:rsidR="009F20A3" w:rsidRPr="005206EF" w:rsidRDefault="009F20A3" w:rsidP="00FE5FA2">
            <w:pPr>
              <w:ind w:left="-106" w:right="-107"/>
              <w:jc w:val="center"/>
              <w:rPr>
                <w:rFonts w:eastAsia="Calibri"/>
                <w:b/>
                <w:sz w:val="18"/>
                <w:szCs w:val="18"/>
              </w:rPr>
            </w:pPr>
            <w:r w:rsidRPr="005206EF">
              <w:rPr>
                <w:rFonts w:eastAsia="Calibri"/>
                <w:b/>
                <w:sz w:val="18"/>
                <w:szCs w:val="18"/>
              </w:rPr>
              <w:t>2023</w:t>
            </w:r>
          </w:p>
        </w:tc>
        <w:tc>
          <w:tcPr>
            <w:tcW w:w="518" w:type="dxa"/>
            <w:shd w:val="clear" w:color="auto" w:fill="auto"/>
            <w:vAlign w:val="center"/>
          </w:tcPr>
          <w:p w:rsidR="009F20A3" w:rsidRPr="005206EF" w:rsidRDefault="009F20A3" w:rsidP="00FE5FA2">
            <w:pPr>
              <w:ind w:left="-106" w:right="-107"/>
              <w:jc w:val="center"/>
              <w:rPr>
                <w:rFonts w:eastAsia="Calibri"/>
                <w:b/>
                <w:sz w:val="18"/>
                <w:szCs w:val="18"/>
              </w:rPr>
            </w:pPr>
            <w:r w:rsidRPr="005206EF">
              <w:rPr>
                <w:rFonts w:eastAsia="Calibri"/>
                <w:b/>
                <w:sz w:val="18"/>
                <w:szCs w:val="18"/>
              </w:rPr>
              <w:t>2024</w:t>
            </w:r>
          </w:p>
        </w:tc>
        <w:tc>
          <w:tcPr>
            <w:tcW w:w="518" w:type="dxa"/>
            <w:shd w:val="clear" w:color="auto" w:fill="auto"/>
            <w:vAlign w:val="center"/>
          </w:tcPr>
          <w:p w:rsidR="009F20A3" w:rsidRPr="005206EF" w:rsidRDefault="009F20A3" w:rsidP="00FE5FA2">
            <w:pPr>
              <w:ind w:left="-106" w:right="-107"/>
              <w:jc w:val="center"/>
              <w:rPr>
                <w:rFonts w:eastAsia="Calibri"/>
                <w:b/>
                <w:sz w:val="18"/>
                <w:szCs w:val="18"/>
              </w:rPr>
            </w:pPr>
            <w:r w:rsidRPr="005206EF">
              <w:rPr>
                <w:rFonts w:eastAsia="Calibri"/>
                <w:b/>
                <w:sz w:val="18"/>
                <w:szCs w:val="18"/>
              </w:rPr>
              <w:t>2025</w:t>
            </w:r>
          </w:p>
        </w:tc>
      </w:tr>
      <w:tr w:rsidR="009F20A3" w:rsidRPr="005206EF" w:rsidTr="00693919">
        <w:tc>
          <w:tcPr>
            <w:tcW w:w="519" w:type="dxa"/>
            <w:shd w:val="clear" w:color="auto" w:fill="auto"/>
          </w:tcPr>
          <w:p w:rsidR="009F20A3" w:rsidRPr="005206EF" w:rsidRDefault="009F20A3" w:rsidP="00FE5FA2">
            <w:pPr>
              <w:ind w:left="-106" w:right="-107"/>
              <w:jc w:val="center"/>
              <w:rPr>
                <w:rFonts w:eastAsia="Calibri"/>
                <w:b/>
                <w:sz w:val="18"/>
                <w:szCs w:val="18"/>
              </w:rPr>
            </w:pPr>
            <w:r w:rsidRPr="005206EF">
              <w:rPr>
                <w:rFonts w:eastAsia="Calibri"/>
                <w:b/>
                <w:sz w:val="18"/>
                <w:szCs w:val="18"/>
              </w:rPr>
              <w:t>67.1</w:t>
            </w:r>
          </w:p>
        </w:tc>
        <w:tc>
          <w:tcPr>
            <w:tcW w:w="519" w:type="dxa"/>
            <w:shd w:val="clear" w:color="auto" w:fill="auto"/>
            <w:vAlign w:val="center"/>
          </w:tcPr>
          <w:p w:rsidR="009F20A3" w:rsidRPr="005206EF" w:rsidRDefault="009F20A3" w:rsidP="00FE5FA2">
            <w:pPr>
              <w:ind w:left="-106" w:right="-107"/>
              <w:jc w:val="center"/>
              <w:rPr>
                <w:rFonts w:eastAsia="Calibri"/>
                <w:b/>
                <w:sz w:val="18"/>
                <w:szCs w:val="18"/>
              </w:rPr>
            </w:pPr>
            <w:r w:rsidRPr="005206EF">
              <w:rPr>
                <w:rFonts w:eastAsia="Calibri"/>
                <w:b/>
                <w:sz w:val="18"/>
                <w:szCs w:val="18"/>
              </w:rPr>
              <w:t>67.9</w:t>
            </w:r>
          </w:p>
        </w:tc>
        <w:tc>
          <w:tcPr>
            <w:tcW w:w="519" w:type="dxa"/>
            <w:shd w:val="clear" w:color="auto" w:fill="auto"/>
            <w:vAlign w:val="center"/>
          </w:tcPr>
          <w:p w:rsidR="009F20A3" w:rsidRPr="005206EF" w:rsidRDefault="009F20A3" w:rsidP="00FE5FA2">
            <w:pPr>
              <w:ind w:left="-106" w:right="-107"/>
              <w:jc w:val="center"/>
              <w:rPr>
                <w:rFonts w:eastAsia="Calibri"/>
                <w:b/>
                <w:sz w:val="18"/>
                <w:szCs w:val="18"/>
              </w:rPr>
            </w:pPr>
            <w:r w:rsidRPr="005206EF">
              <w:rPr>
                <w:rFonts w:eastAsia="Calibri"/>
                <w:b/>
                <w:sz w:val="18"/>
                <w:szCs w:val="18"/>
              </w:rPr>
              <w:t>68.7</w:t>
            </w:r>
          </w:p>
        </w:tc>
        <w:tc>
          <w:tcPr>
            <w:tcW w:w="519" w:type="dxa"/>
            <w:shd w:val="clear" w:color="auto" w:fill="auto"/>
            <w:vAlign w:val="center"/>
          </w:tcPr>
          <w:p w:rsidR="009F20A3" w:rsidRPr="005206EF" w:rsidRDefault="009F20A3" w:rsidP="00FE5FA2">
            <w:pPr>
              <w:ind w:left="-106" w:right="-107"/>
              <w:jc w:val="center"/>
              <w:rPr>
                <w:rFonts w:eastAsia="Calibri"/>
                <w:b/>
                <w:sz w:val="18"/>
                <w:szCs w:val="18"/>
              </w:rPr>
            </w:pPr>
            <w:r w:rsidRPr="005206EF">
              <w:rPr>
                <w:rFonts w:eastAsia="Calibri"/>
                <w:b/>
                <w:sz w:val="18"/>
                <w:szCs w:val="18"/>
              </w:rPr>
              <w:t>69.5</w:t>
            </w:r>
          </w:p>
        </w:tc>
        <w:tc>
          <w:tcPr>
            <w:tcW w:w="518" w:type="dxa"/>
            <w:shd w:val="clear" w:color="auto" w:fill="auto"/>
            <w:vAlign w:val="center"/>
          </w:tcPr>
          <w:p w:rsidR="009F20A3" w:rsidRPr="005206EF" w:rsidRDefault="009F20A3" w:rsidP="00FE5FA2">
            <w:pPr>
              <w:ind w:left="-106" w:right="-107"/>
              <w:jc w:val="center"/>
              <w:rPr>
                <w:rFonts w:eastAsia="Calibri"/>
                <w:b/>
                <w:sz w:val="18"/>
                <w:szCs w:val="18"/>
              </w:rPr>
            </w:pPr>
            <w:r w:rsidRPr="005206EF">
              <w:rPr>
                <w:rFonts w:eastAsia="Calibri"/>
                <w:b/>
                <w:sz w:val="18"/>
                <w:szCs w:val="18"/>
              </w:rPr>
              <w:t>70.2</w:t>
            </w:r>
          </w:p>
        </w:tc>
        <w:tc>
          <w:tcPr>
            <w:tcW w:w="518" w:type="dxa"/>
            <w:shd w:val="clear" w:color="auto" w:fill="auto"/>
            <w:vAlign w:val="center"/>
          </w:tcPr>
          <w:p w:rsidR="009F20A3" w:rsidRPr="005206EF" w:rsidRDefault="009F20A3" w:rsidP="00FE5FA2">
            <w:pPr>
              <w:ind w:left="-106" w:right="-107"/>
              <w:jc w:val="center"/>
              <w:rPr>
                <w:rFonts w:eastAsia="Calibri"/>
                <w:b/>
                <w:sz w:val="18"/>
                <w:szCs w:val="18"/>
              </w:rPr>
            </w:pPr>
            <w:r w:rsidRPr="005206EF">
              <w:rPr>
                <w:rFonts w:eastAsia="Calibri"/>
                <w:b/>
                <w:sz w:val="18"/>
                <w:szCs w:val="18"/>
              </w:rPr>
              <w:t>70.9</w:t>
            </w:r>
          </w:p>
        </w:tc>
        <w:tc>
          <w:tcPr>
            <w:tcW w:w="518" w:type="dxa"/>
            <w:shd w:val="clear" w:color="auto" w:fill="auto"/>
            <w:vAlign w:val="center"/>
          </w:tcPr>
          <w:p w:rsidR="009F20A3" w:rsidRPr="005206EF" w:rsidRDefault="009F20A3" w:rsidP="00FE5FA2">
            <w:pPr>
              <w:ind w:left="-106" w:right="-107"/>
              <w:jc w:val="center"/>
              <w:rPr>
                <w:rFonts w:eastAsia="Calibri"/>
                <w:b/>
                <w:sz w:val="18"/>
                <w:szCs w:val="18"/>
              </w:rPr>
            </w:pPr>
            <w:r w:rsidRPr="005206EF">
              <w:rPr>
                <w:rFonts w:eastAsia="Calibri"/>
                <w:b/>
                <w:sz w:val="18"/>
                <w:szCs w:val="18"/>
              </w:rPr>
              <w:t>71.6</w:t>
            </w:r>
          </w:p>
        </w:tc>
        <w:tc>
          <w:tcPr>
            <w:tcW w:w="518" w:type="dxa"/>
            <w:shd w:val="clear" w:color="auto" w:fill="auto"/>
            <w:vAlign w:val="center"/>
          </w:tcPr>
          <w:p w:rsidR="009F20A3" w:rsidRPr="005206EF" w:rsidRDefault="009F20A3" w:rsidP="00FE5FA2">
            <w:pPr>
              <w:ind w:left="-106" w:right="-107"/>
              <w:jc w:val="center"/>
              <w:rPr>
                <w:rFonts w:eastAsia="Calibri"/>
                <w:b/>
                <w:sz w:val="18"/>
                <w:szCs w:val="18"/>
              </w:rPr>
            </w:pPr>
            <w:r w:rsidRPr="005206EF">
              <w:rPr>
                <w:rFonts w:eastAsia="Calibri"/>
                <w:b/>
                <w:sz w:val="18"/>
                <w:szCs w:val="18"/>
              </w:rPr>
              <w:t>72.3</w:t>
            </w:r>
          </w:p>
        </w:tc>
        <w:tc>
          <w:tcPr>
            <w:tcW w:w="518" w:type="dxa"/>
            <w:shd w:val="clear" w:color="auto" w:fill="auto"/>
            <w:vAlign w:val="center"/>
          </w:tcPr>
          <w:p w:rsidR="009F20A3" w:rsidRPr="005206EF" w:rsidRDefault="009F20A3" w:rsidP="00FE5FA2">
            <w:pPr>
              <w:ind w:left="-106" w:right="-107"/>
              <w:jc w:val="center"/>
              <w:rPr>
                <w:rFonts w:eastAsia="Calibri"/>
                <w:b/>
                <w:sz w:val="18"/>
                <w:szCs w:val="18"/>
              </w:rPr>
            </w:pPr>
            <w:r w:rsidRPr="005206EF">
              <w:rPr>
                <w:rFonts w:eastAsia="Calibri"/>
                <w:b/>
                <w:sz w:val="18"/>
                <w:szCs w:val="18"/>
              </w:rPr>
              <w:t>73.0</w:t>
            </w:r>
          </w:p>
        </w:tc>
      </w:tr>
    </w:tbl>
    <w:p w:rsidR="00693919" w:rsidRPr="005D409C" w:rsidRDefault="00693919" w:rsidP="00693919">
      <w:pPr>
        <w:widowControl/>
        <w:jc w:val="both"/>
        <w:rPr>
          <w:rFonts w:eastAsia="Times New Roman"/>
          <w:snapToGrid/>
          <w:sz w:val="18"/>
          <w:szCs w:val="18"/>
          <w:lang w:val="en"/>
        </w:rPr>
      </w:pPr>
      <w:r w:rsidRPr="005D409C">
        <w:rPr>
          <w:rFonts w:eastAsia="Times New Roman"/>
          <w:snapToGrid/>
          <w:sz w:val="18"/>
          <w:szCs w:val="18"/>
          <w:lang w:val="en"/>
        </w:rPr>
        <w:t>Source: Processed from BPS Catalog data: 2101018 Indonesian Population Projection 2010-2035, Agency</w:t>
      </w:r>
      <w:r>
        <w:rPr>
          <w:rFonts w:eastAsia="Times New Roman"/>
          <w:snapToGrid/>
          <w:sz w:val="18"/>
          <w:szCs w:val="18"/>
          <w:lang w:val="en"/>
        </w:rPr>
        <w:t xml:space="preserve"> National </w:t>
      </w:r>
      <w:r w:rsidRPr="005D409C">
        <w:rPr>
          <w:rFonts w:eastAsia="Times New Roman"/>
          <w:snapToGrid/>
          <w:sz w:val="18"/>
          <w:szCs w:val="18"/>
          <w:lang w:val="en"/>
        </w:rPr>
        <w:t>Development Planning, Central Statistics Agency, United Nations Population</w:t>
      </w:r>
      <w:r>
        <w:rPr>
          <w:rFonts w:eastAsia="Times New Roman"/>
          <w:snapToGrid/>
          <w:sz w:val="18"/>
          <w:szCs w:val="18"/>
          <w:lang w:val="en"/>
        </w:rPr>
        <w:t xml:space="preserve"> </w:t>
      </w:r>
      <w:r w:rsidRPr="005D409C">
        <w:rPr>
          <w:rFonts w:eastAsia="Times New Roman"/>
          <w:snapToGrid/>
          <w:sz w:val="18"/>
          <w:szCs w:val="18"/>
          <w:lang w:val="en"/>
        </w:rPr>
        <w:t>Fund, Jakarta 2013 [</w:t>
      </w:r>
      <w:r w:rsidR="00B40A30">
        <w:rPr>
          <w:rFonts w:eastAsia="Times New Roman"/>
          <w:snapToGrid/>
          <w:sz w:val="18"/>
          <w:szCs w:val="18"/>
          <w:lang w:val="en"/>
        </w:rPr>
        <w:t>3</w:t>
      </w:r>
      <w:r w:rsidR="000217BF">
        <w:rPr>
          <w:rFonts w:eastAsia="Times New Roman"/>
          <w:snapToGrid/>
          <w:sz w:val="18"/>
          <w:szCs w:val="18"/>
          <w:lang w:val="en"/>
        </w:rPr>
        <w:t>2</w:t>
      </w:r>
      <w:r w:rsidRPr="005D409C">
        <w:rPr>
          <w:rFonts w:eastAsia="Times New Roman"/>
          <w:snapToGrid/>
          <w:sz w:val="18"/>
          <w:szCs w:val="18"/>
          <w:lang w:val="en"/>
        </w:rPr>
        <w:t>]</w:t>
      </w:r>
    </w:p>
    <w:p w:rsidR="009F20A3" w:rsidRPr="00693919" w:rsidRDefault="009F20A3" w:rsidP="009F20A3">
      <w:pPr>
        <w:jc w:val="center"/>
        <w:rPr>
          <w:b/>
          <w:sz w:val="18"/>
          <w:szCs w:val="18"/>
        </w:rPr>
      </w:pPr>
    </w:p>
    <w:p w:rsidR="00693919" w:rsidRPr="00B40A30" w:rsidRDefault="00693919" w:rsidP="009F20A3">
      <w:pPr>
        <w:jc w:val="center"/>
        <w:rPr>
          <w:sz w:val="18"/>
          <w:szCs w:val="18"/>
        </w:rPr>
      </w:pPr>
      <w:r w:rsidRPr="00B40A30">
        <w:rPr>
          <w:sz w:val="18"/>
          <w:szCs w:val="18"/>
        </w:rPr>
        <w:t>Tab</w:t>
      </w:r>
      <w:r w:rsidR="009F20A3" w:rsidRPr="00B40A30">
        <w:rPr>
          <w:sz w:val="18"/>
          <w:szCs w:val="18"/>
        </w:rPr>
        <w:t>l</w:t>
      </w:r>
      <w:r w:rsidRPr="00B40A30">
        <w:rPr>
          <w:sz w:val="18"/>
          <w:szCs w:val="18"/>
        </w:rPr>
        <w:t>e</w:t>
      </w:r>
      <w:r w:rsidR="009F20A3" w:rsidRPr="00B40A30">
        <w:rPr>
          <w:sz w:val="18"/>
          <w:szCs w:val="18"/>
        </w:rPr>
        <w:t xml:space="preserve"> </w:t>
      </w:r>
      <w:r w:rsidR="00B40A30" w:rsidRPr="00B40A30">
        <w:rPr>
          <w:sz w:val="18"/>
          <w:szCs w:val="18"/>
        </w:rPr>
        <w:t>2</w:t>
      </w:r>
      <w:r w:rsidR="009F20A3" w:rsidRPr="00B40A30">
        <w:rPr>
          <w:sz w:val="18"/>
          <w:szCs w:val="18"/>
        </w:rPr>
        <w:t xml:space="preserve">.12 </w:t>
      </w:r>
    </w:p>
    <w:p w:rsidR="009F20A3" w:rsidRPr="00B40A30" w:rsidRDefault="009F20A3" w:rsidP="009F20A3">
      <w:pPr>
        <w:jc w:val="center"/>
        <w:rPr>
          <w:sz w:val="18"/>
          <w:szCs w:val="18"/>
        </w:rPr>
      </w:pPr>
      <w:r w:rsidRPr="00B40A30">
        <w:rPr>
          <w:sz w:val="18"/>
          <w:szCs w:val="18"/>
        </w:rPr>
        <w:t xml:space="preserve">Data </w:t>
      </w:r>
      <w:r w:rsidR="00693919" w:rsidRPr="00B40A30">
        <w:rPr>
          <w:sz w:val="18"/>
          <w:szCs w:val="18"/>
        </w:rPr>
        <w:t>on Perc</w:t>
      </w:r>
      <w:r w:rsidRPr="00B40A30">
        <w:rPr>
          <w:sz w:val="18"/>
          <w:szCs w:val="18"/>
        </w:rPr>
        <w:t>enta</w:t>
      </w:r>
      <w:r w:rsidR="00693919" w:rsidRPr="00B40A30">
        <w:rPr>
          <w:sz w:val="18"/>
          <w:szCs w:val="18"/>
        </w:rPr>
        <w:t>ge of Households Using Wood Fuel and Charcoal/Briquettes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
        <w:gridCol w:w="631"/>
        <w:gridCol w:w="665"/>
        <w:gridCol w:w="631"/>
        <w:gridCol w:w="665"/>
        <w:gridCol w:w="631"/>
        <w:gridCol w:w="665"/>
      </w:tblGrid>
      <w:tr w:rsidR="00693919" w:rsidRPr="00FE5FA2" w:rsidTr="00FE5FA2">
        <w:trPr>
          <w:jc w:val="center"/>
        </w:trPr>
        <w:tc>
          <w:tcPr>
            <w:tcW w:w="700" w:type="dxa"/>
            <w:tcBorders>
              <w:top w:val="single" w:sz="8" w:space="0" w:color="000000"/>
              <w:left w:val="single" w:sz="8" w:space="0" w:color="000000"/>
              <w:bottom w:val="single" w:sz="8" w:space="0" w:color="000000"/>
              <w:right w:val="single" w:sz="8" w:space="0" w:color="000000"/>
            </w:tcBorders>
            <w:shd w:val="clear" w:color="auto" w:fill="auto"/>
          </w:tcPr>
          <w:p w:rsidR="009F20A3" w:rsidRPr="00FE5FA2" w:rsidRDefault="00693919" w:rsidP="0083507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Year</w:t>
            </w:r>
          </w:p>
        </w:tc>
        <w:tc>
          <w:tcPr>
            <w:tcW w:w="1178" w:type="dxa"/>
            <w:gridSpan w:val="2"/>
            <w:tcBorders>
              <w:top w:val="single" w:sz="8" w:space="0" w:color="000000"/>
              <w:left w:val="single" w:sz="8" w:space="0" w:color="000000"/>
              <w:bottom w:val="single" w:sz="8" w:space="0" w:color="000000"/>
              <w:right w:val="single" w:sz="8" w:space="0" w:color="000000"/>
            </w:tcBorders>
            <w:shd w:val="clear" w:color="auto" w:fill="auto"/>
          </w:tcPr>
          <w:p w:rsidR="009F20A3" w:rsidRPr="00FE5FA2" w:rsidRDefault="009F20A3" w:rsidP="0083507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2015</w:t>
            </w:r>
          </w:p>
        </w:tc>
        <w:tc>
          <w:tcPr>
            <w:tcW w:w="1178" w:type="dxa"/>
            <w:gridSpan w:val="2"/>
            <w:tcBorders>
              <w:top w:val="single" w:sz="8" w:space="0" w:color="000000"/>
              <w:left w:val="single" w:sz="8" w:space="0" w:color="000000"/>
              <w:bottom w:val="single" w:sz="8" w:space="0" w:color="000000"/>
              <w:right w:val="single" w:sz="8" w:space="0" w:color="000000"/>
            </w:tcBorders>
            <w:shd w:val="clear" w:color="auto" w:fill="auto"/>
          </w:tcPr>
          <w:p w:rsidR="009F20A3" w:rsidRPr="00FE5FA2" w:rsidRDefault="009F20A3" w:rsidP="0083507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2016</w:t>
            </w:r>
          </w:p>
        </w:tc>
        <w:tc>
          <w:tcPr>
            <w:tcW w:w="1400" w:type="dxa"/>
            <w:gridSpan w:val="2"/>
            <w:tcBorders>
              <w:top w:val="single" w:sz="8" w:space="0" w:color="000000"/>
              <w:left w:val="single" w:sz="8" w:space="0" w:color="000000"/>
              <w:bottom w:val="single" w:sz="8" w:space="0" w:color="000000"/>
            </w:tcBorders>
            <w:shd w:val="clear" w:color="auto" w:fill="auto"/>
          </w:tcPr>
          <w:p w:rsidR="009F20A3" w:rsidRPr="00FE5FA2" w:rsidRDefault="009F20A3" w:rsidP="0083507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2018</w:t>
            </w:r>
          </w:p>
        </w:tc>
      </w:tr>
      <w:tr w:rsidR="00FE5FA2" w:rsidRPr="00FE5FA2" w:rsidTr="00FE5FA2">
        <w:trPr>
          <w:jc w:val="center"/>
        </w:trPr>
        <w:tc>
          <w:tcPr>
            <w:tcW w:w="700" w:type="dxa"/>
            <w:tcBorders>
              <w:top w:val="single" w:sz="8" w:space="0" w:color="000000"/>
              <w:left w:val="single" w:sz="8" w:space="0" w:color="000000"/>
              <w:bottom w:val="single" w:sz="8" w:space="0" w:color="000000"/>
              <w:right w:val="single" w:sz="8" w:space="0" w:color="000000"/>
            </w:tcBorders>
            <w:shd w:val="clear" w:color="auto" w:fill="auto"/>
          </w:tcPr>
          <w:p w:rsidR="009F20A3" w:rsidRPr="00FE5FA2" w:rsidRDefault="00693919" w:rsidP="0083507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The Region</w:t>
            </w:r>
          </w:p>
        </w:tc>
        <w:tc>
          <w:tcPr>
            <w:tcW w:w="575" w:type="dxa"/>
            <w:tcBorders>
              <w:top w:val="single" w:sz="8" w:space="0" w:color="000000"/>
              <w:left w:val="single" w:sz="8" w:space="0" w:color="000000"/>
              <w:bottom w:val="single" w:sz="8" w:space="0" w:color="000000"/>
              <w:right w:val="single" w:sz="8" w:space="0" w:color="000000"/>
            </w:tcBorders>
            <w:shd w:val="clear" w:color="auto" w:fill="auto"/>
          </w:tcPr>
          <w:p w:rsidR="009F20A3" w:rsidRPr="00FE5FA2" w:rsidRDefault="00693919"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Firewood</w:t>
            </w:r>
          </w:p>
        </w:tc>
        <w:tc>
          <w:tcPr>
            <w:tcW w:w="603" w:type="dxa"/>
            <w:tcBorders>
              <w:top w:val="single" w:sz="8" w:space="0" w:color="000000"/>
              <w:left w:val="single" w:sz="8" w:space="0" w:color="000000"/>
              <w:bottom w:val="single" w:sz="8" w:space="0" w:color="000000"/>
              <w:right w:val="single" w:sz="8" w:space="0" w:color="000000"/>
            </w:tcBorders>
            <w:shd w:val="clear" w:color="auto" w:fill="auto"/>
          </w:tcPr>
          <w:p w:rsidR="00693919" w:rsidRPr="00FE5FA2" w:rsidRDefault="00693919"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Charcoal/</w:t>
            </w:r>
          </w:p>
          <w:p w:rsidR="009F20A3" w:rsidRPr="00FE5FA2" w:rsidRDefault="00693919"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Briquettes</w:t>
            </w:r>
          </w:p>
        </w:tc>
        <w:tc>
          <w:tcPr>
            <w:tcW w:w="575" w:type="dxa"/>
            <w:tcBorders>
              <w:top w:val="single" w:sz="8" w:space="0" w:color="000000"/>
              <w:left w:val="single" w:sz="8" w:space="0" w:color="000000"/>
              <w:bottom w:val="single" w:sz="8" w:space="0" w:color="000000"/>
              <w:right w:val="single" w:sz="8" w:space="0" w:color="000000"/>
            </w:tcBorders>
            <w:shd w:val="clear" w:color="auto" w:fill="auto"/>
          </w:tcPr>
          <w:p w:rsidR="009F20A3" w:rsidRPr="00FE5FA2" w:rsidRDefault="00693919"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Firewood</w:t>
            </w:r>
          </w:p>
        </w:tc>
        <w:tc>
          <w:tcPr>
            <w:tcW w:w="603" w:type="dxa"/>
            <w:tcBorders>
              <w:top w:val="single" w:sz="8" w:space="0" w:color="000000"/>
              <w:left w:val="single" w:sz="8" w:space="0" w:color="000000"/>
              <w:bottom w:val="single" w:sz="8" w:space="0" w:color="000000"/>
              <w:right w:val="single" w:sz="8" w:space="0" w:color="000000"/>
            </w:tcBorders>
            <w:shd w:val="clear" w:color="auto" w:fill="auto"/>
          </w:tcPr>
          <w:p w:rsidR="00693919" w:rsidRPr="00FE5FA2" w:rsidRDefault="00693919"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Charcoal/</w:t>
            </w:r>
          </w:p>
          <w:p w:rsidR="009F20A3" w:rsidRPr="00FE5FA2" w:rsidRDefault="00693919"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Briquettes</w:t>
            </w:r>
          </w:p>
        </w:tc>
        <w:tc>
          <w:tcPr>
            <w:tcW w:w="575" w:type="dxa"/>
            <w:tcBorders>
              <w:top w:val="single" w:sz="8" w:space="0" w:color="000000"/>
              <w:left w:val="single" w:sz="8" w:space="0" w:color="000000"/>
              <w:bottom w:val="single" w:sz="8" w:space="0" w:color="000000"/>
              <w:right w:val="single" w:sz="8" w:space="0" w:color="000000"/>
            </w:tcBorders>
            <w:shd w:val="clear" w:color="auto" w:fill="auto"/>
          </w:tcPr>
          <w:p w:rsidR="009F20A3" w:rsidRPr="00FE5FA2" w:rsidRDefault="00693919"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Firewood</w:t>
            </w:r>
          </w:p>
        </w:tc>
        <w:tc>
          <w:tcPr>
            <w:tcW w:w="825" w:type="dxa"/>
            <w:tcBorders>
              <w:top w:val="single" w:sz="8" w:space="0" w:color="000000"/>
              <w:left w:val="single" w:sz="8" w:space="0" w:color="000000"/>
              <w:bottom w:val="single" w:sz="8" w:space="0" w:color="000000"/>
            </w:tcBorders>
            <w:shd w:val="clear" w:color="auto" w:fill="auto"/>
          </w:tcPr>
          <w:p w:rsidR="009F20A3" w:rsidRPr="00FE5FA2" w:rsidRDefault="00693919"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Charcoal/</w:t>
            </w:r>
            <w:r w:rsidR="00FE5FA2">
              <w:rPr>
                <w:rFonts w:asciiTheme="majorBidi" w:eastAsia="Calibri" w:hAnsiTheme="majorBidi" w:cstheme="majorBidi"/>
                <w:color w:val="0D0D0D"/>
                <w:sz w:val="18"/>
                <w:szCs w:val="18"/>
                <w:lang w:val="en-US"/>
              </w:rPr>
              <w:t xml:space="preserve"> </w:t>
            </w:r>
            <w:r w:rsidRPr="00FE5FA2">
              <w:rPr>
                <w:rFonts w:asciiTheme="majorBidi" w:eastAsia="Calibri" w:hAnsiTheme="majorBidi" w:cstheme="majorBidi"/>
                <w:color w:val="0D0D0D"/>
                <w:sz w:val="18"/>
                <w:szCs w:val="18"/>
              </w:rPr>
              <w:t>Briquettes</w:t>
            </w:r>
          </w:p>
        </w:tc>
      </w:tr>
      <w:tr w:rsidR="00FE5FA2" w:rsidRPr="00FE5FA2" w:rsidTr="00FE5FA2">
        <w:trPr>
          <w:jc w:val="center"/>
        </w:trPr>
        <w:tc>
          <w:tcPr>
            <w:tcW w:w="700" w:type="dxa"/>
            <w:tcBorders>
              <w:top w:val="single" w:sz="8" w:space="0" w:color="000000"/>
              <w:left w:val="single" w:sz="8" w:space="0" w:color="000000"/>
              <w:bottom w:val="single" w:sz="8" w:space="0" w:color="000000"/>
              <w:right w:val="single" w:sz="8" w:space="0" w:color="000000"/>
            </w:tcBorders>
            <w:shd w:val="clear" w:color="auto" w:fill="auto"/>
          </w:tcPr>
          <w:p w:rsidR="009F20A3" w:rsidRPr="00FE5FA2" w:rsidRDefault="009F20A3" w:rsidP="00835079">
            <w:pPr>
              <w:jc w:val="center"/>
              <w:rPr>
                <w:rFonts w:asciiTheme="majorBidi" w:eastAsia="Calibri" w:hAnsiTheme="majorBidi" w:cstheme="majorBidi"/>
                <w:b/>
                <w:color w:val="0D0D0D"/>
                <w:sz w:val="18"/>
                <w:szCs w:val="18"/>
              </w:rPr>
            </w:pPr>
            <w:r w:rsidRPr="00FE5FA2">
              <w:rPr>
                <w:rFonts w:asciiTheme="majorBidi" w:eastAsia="Calibri" w:hAnsiTheme="majorBidi" w:cstheme="majorBidi"/>
                <w:b/>
                <w:color w:val="0D0D0D"/>
                <w:sz w:val="18"/>
                <w:szCs w:val="18"/>
              </w:rPr>
              <w:t>Jawa Barat</w:t>
            </w:r>
          </w:p>
        </w:tc>
        <w:tc>
          <w:tcPr>
            <w:tcW w:w="575" w:type="dxa"/>
            <w:tcBorders>
              <w:top w:val="single" w:sz="8" w:space="0" w:color="000000"/>
              <w:left w:val="single" w:sz="8" w:space="0" w:color="000000"/>
              <w:bottom w:val="single" w:sz="8" w:space="0" w:color="000000"/>
              <w:right w:val="single" w:sz="8" w:space="0" w:color="000000"/>
            </w:tcBorders>
            <w:shd w:val="clear" w:color="auto" w:fill="auto"/>
          </w:tcPr>
          <w:p w:rsidR="009F20A3" w:rsidRPr="00FE5FA2" w:rsidRDefault="009F20A3" w:rsidP="00FE5FA2">
            <w:pPr>
              <w:ind w:left="-69" w:right="-97"/>
              <w:jc w:val="center"/>
              <w:rPr>
                <w:rFonts w:asciiTheme="majorBidi" w:eastAsia="Calibri" w:hAnsiTheme="majorBidi" w:cstheme="majorBidi"/>
                <w:b/>
                <w:bCs/>
                <w:color w:val="0D0D0D"/>
                <w:sz w:val="18"/>
                <w:szCs w:val="18"/>
              </w:rPr>
            </w:pPr>
            <w:r w:rsidRPr="00FE5FA2">
              <w:rPr>
                <w:rFonts w:asciiTheme="majorBidi" w:eastAsia="Calibri" w:hAnsiTheme="majorBidi" w:cstheme="majorBidi"/>
                <w:b/>
                <w:bCs/>
                <w:color w:val="0D0D0D"/>
                <w:sz w:val="18"/>
                <w:szCs w:val="18"/>
              </w:rPr>
              <w:t>15,71</w:t>
            </w:r>
          </w:p>
        </w:tc>
        <w:tc>
          <w:tcPr>
            <w:tcW w:w="603" w:type="dxa"/>
            <w:tcBorders>
              <w:top w:val="single" w:sz="8" w:space="0" w:color="000000"/>
              <w:left w:val="single" w:sz="8" w:space="0" w:color="000000"/>
              <w:bottom w:val="single" w:sz="8" w:space="0" w:color="000000"/>
              <w:right w:val="single" w:sz="8" w:space="0" w:color="000000"/>
            </w:tcBorders>
            <w:shd w:val="clear" w:color="auto" w:fill="auto"/>
          </w:tcPr>
          <w:p w:rsidR="009F20A3" w:rsidRPr="00FE5FA2" w:rsidRDefault="009F20A3" w:rsidP="00FE5FA2">
            <w:pPr>
              <w:ind w:left="-69" w:right="-97"/>
              <w:jc w:val="center"/>
              <w:rPr>
                <w:rFonts w:asciiTheme="majorBidi" w:eastAsia="Calibri" w:hAnsiTheme="majorBidi" w:cstheme="majorBidi"/>
                <w:b/>
                <w:bCs/>
                <w:color w:val="0D0D0D"/>
                <w:sz w:val="18"/>
                <w:szCs w:val="18"/>
              </w:rPr>
            </w:pPr>
            <w:r w:rsidRPr="00FE5FA2">
              <w:rPr>
                <w:rFonts w:asciiTheme="majorBidi" w:eastAsia="Calibri" w:hAnsiTheme="majorBidi" w:cstheme="majorBidi"/>
                <w:b/>
                <w:bCs/>
                <w:color w:val="0D0D0D"/>
                <w:sz w:val="18"/>
                <w:szCs w:val="18"/>
              </w:rPr>
              <w:t>0,01</w:t>
            </w:r>
          </w:p>
        </w:tc>
        <w:tc>
          <w:tcPr>
            <w:tcW w:w="575" w:type="dxa"/>
            <w:tcBorders>
              <w:top w:val="single" w:sz="8" w:space="0" w:color="000000"/>
              <w:left w:val="single" w:sz="8" w:space="0" w:color="000000"/>
              <w:bottom w:val="single" w:sz="8" w:space="0" w:color="000000"/>
              <w:right w:val="single" w:sz="8" w:space="0" w:color="000000"/>
            </w:tcBorders>
            <w:shd w:val="clear" w:color="auto" w:fill="auto"/>
          </w:tcPr>
          <w:p w:rsidR="009F20A3" w:rsidRPr="00FE5FA2" w:rsidRDefault="009F20A3" w:rsidP="00FE5FA2">
            <w:pPr>
              <w:ind w:left="-69" w:right="-97"/>
              <w:jc w:val="center"/>
              <w:rPr>
                <w:rFonts w:asciiTheme="majorBidi" w:eastAsia="Calibri" w:hAnsiTheme="majorBidi" w:cstheme="majorBidi"/>
                <w:b/>
                <w:bCs/>
                <w:color w:val="0D0D0D"/>
                <w:sz w:val="18"/>
                <w:szCs w:val="18"/>
              </w:rPr>
            </w:pPr>
            <w:r w:rsidRPr="00FE5FA2">
              <w:rPr>
                <w:rFonts w:asciiTheme="majorBidi" w:eastAsia="Calibri" w:hAnsiTheme="majorBidi" w:cstheme="majorBidi"/>
                <w:b/>
                <w:bCs/>
                <w:color w:val="0D0D0D"/>
                <w:sz w:val="18"/>
                <w:szCs w:val="18"/>
              </w:rPr>
              <w:t>13,80</w:t>
            </w:r>
          </w:p>
        </w:tc>
        <w:tc>
          <w:tcPr>
            <w:tcW w:w="603" w:type="dxa"/>
            <w:tcBorders>
              <w:top w:val="single" w:sz="8" w:space="0" w:color="000000"/>
              <w:left w:val="single" w:sz="8" w:space="0" w:color="000000"/>
              <w:bottom w:val="single" w:sz="8" w:space="0" w:color="000000"/>
              <w:right w:val="single" w:sz="8" w:space="0" w:color="000000"/>
            </w:tcBorders>
            <w:shd w:val="clear" w:color="auto" w:fill="auto"/>
          </w:tcPr>
          <w:p w:rsidR="009F20A3" w:rsidRPr="00FE5FA2" w:rsidRDefault="009F20A3" w:rsidP="00FE5FA2">
            <w:pPr>
              <w:ind w:left="-69" w:right="-97"/>
              <w:jc w:val="center"/>
              <w:rPr>
                <w:rFonts w:asciiTheme="majorBidi" w:eastAsia="Calibri" w:hAnsiTheme="majorBidi" w:cstheme="majorBidi"/>
                <w:b/>
                <w:bCs/>
                <w:color w:val="0D0D0D"/>
                <w:sz w:val="18"/>
                <w:szCs w:val="18"/>
              </w:rPr>
            </w:pPr>
            <w:r w:rsidRPr="00FE5FA2">
              <w:rPr>
                <w:rFonts w:asciiTheme="majorBidi" w:eastAsia="Calibri" w:hAnsiTheme="majorBidi" w:cstheme="majorBidi"/>
                <w:b/>
                <w:bCs/>
                <w:color w:val="0D0D0D"/>
                <w:sz w:val="18"/>
                <w:szCs w:val="18"/>
              </w:rPr>
              <w:t>0,04</w:t>
            </w:r>
          </w:p>
        </w:tc>
        <w:tc>
          <w:tcPr>
            <w:tcW w:w="575" w:type="dxa"/>
            <w:tcBorders>
              <w:top w:val="single" w:sz="8" w:space="0" w:color="000000"/>
              <w:left w:val="single" w:sz="8" w:space="0" w:color="000000"/>
              <w:bottom w:val="single" w:sz="8" w:space="0" w:color="000000"/>
              <w:right w:val="single" w:sz="8" w:space="0" w:color="000000"/>
            </w:tcBorders>
            <w:shd w:val="clear" w:color="auto" w:fill="auto"/>
          </w:tcPr>
          <w:p w:rsidR="009F20A3" w:rsidRPr="00FE5FA2" w:rsidRDefault="009F20A3" w:rsidP="00FE5FA2">
            <w:pPr>
              <w:ind w:left="-69" w:right="-97"/>
              <w:jc w:val="center"/>
              <w:rPr>
                <w:rFonts w:asciiTheme="majorBidi" w:eastAsia="Calibri" w:hAnsiTheme="majorBidi" w:cstheme="majorBidi"/>
                <w:b/>
                <w:bCs/>
                <w:color w:val="0D0D0D"/>
                <w:sz w:val="18"/>
                <w:szCs w:val="18"/>
              </w:rPr>
            </w:pPr>
            <w:r w:rsidRPr="00FE5FA2">
              <w:rPr>
                <w:rFonts w:asciiTheme="majorBidi" w:eastAsia="Calibri" w:hAnsiTheme="majorBidi" w:cstheme="majorBidi"/>
                <w:b/>
                <w:bCs/>
                <w:color w:val="0D0D0D"/>
                <w:sz w:val="18"/>
                <w:szCs w:val="18"/>
              </w:rPr>
              <w:t>10,98</w:t>
            </w:r>
          </w:p>
        </w:tc>
        <w:tc>
          <w:tcPr>
            <w:tcW w:w="825" w:type="dxa"/>
            <w:tcBorders>
              <w:top w:val="single" w:sz="8" w:space="0" w:color="000000"/>
              <w:left w:val="single" w:sz="8" w:space="0" w:color="000000"/>
              <w:bottom w:val="single" w:sz="8" w:space="0" w:color="000000"/>
              <w:right w:val="single" w:sz="4" w:space="0" w:color="000000"/>
            </w:tcBorders>
            <w:shd w:val="clear" w:color="auto" w:fill="auto"/>
          </w:tcPr>
          <w:p w:rsidR="009F20A3" w:rsidRPr="00FE5FA2" w:rsidRDefault="009F20A3" w:rsidP="00FE5FA2">
            <w:pPr>
              <w:ind w:left="-69" w:right="-97"/>
              <w:jc w:val="center"/>
              <w:rPr>
                <w:rFonts w:asciiTheme="majorBidi" w:eastAsia="Calibri" w:hAnsiTheme="majorBidi" w:cstheme="majorBidi"/>
                <w:b/>
                <w:bCs/>
                <w:color w:val="0D0D0D"/>
                <w:sz w:val="18"/>
                <w:szCs w:val="18"/>
              </w:rPr>
            </w:pPr>
            <w:r w:rsidRPr="00FE5FA2">
              <w:rPr>
                <w:rFonts w:asciiTheme="majorBidi" w:eastAsia="Calibri" w:hAnsiTheme="majorBidi" w:cstheme="majorBidi"/>
                <w:b/>
                <w:bCs/>
                <w:color w:val="0D0D0D"/>
                <w:sz w:val="18"/>
                <w:szCs w:val="18"/>
              </w:rPr>
              <w:t>0,00</w:t>
            </w:r>
          </w:p>
        </w:tc>
      </w:tr>
      <w:tr w:rsidR="00FE5FA2" w:rsidRPr="00FE5FA2" w:rsidTr="00FE5FA2">
        <w:trPr>
          <w:jc w:val="center"/>
        </w:trPr>
        <w:tc>
          <w:tcPr>
            <w:tcW w:w="700" w:type="dxa"/>
            <w:tcBorders>
              <w:top w:val="single" w:sz="8" w:space="0" w:color="000000"/>
              <w:left w:val="single" w:sz="8" w:space="0" w:color="000000"/>
              <w:bottom w:val="single" w:sz="8" w:space="0" w:color="000000"/>
              <w:right w:val="single" w:sz="8" w:space="0" w:color="000000"/>
            </w:tcBorders>
            <w:shd w:val="clear" w:color="auto" w:fill="auto"/>
          </w:tcPr>
          <w:p w:rsidR="009F20A3" w:rsidRPr="00FE5FA2" w:rsidRDefault="009F20A3" w:rsidP="0083507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Sumatera Barat</w:t>
            </w:r>
          </w:p>
        </w:tc>
        <w:tc>
          <w:tcPr>
            <w:tcW w:w="575" w:type="dxa"/>
            <w:tcBorders>
              <w:top w:val="single" w:sz="8" w:space="0" w:color="000000"/>
              <w:left w:val="single" w:sz="8" w:space="0" w:color="000000"/>
              <w:bottom w:val="single" w:sz="8" w:space="0" w:color="000000"/>
              <w:right w:val="single" w:sz="8" w:space="0" w:color="000000"/>
            </w:tcBorders>
            <w:shd w:val="clear" w:color="auto" w:fill="auto"/>
          </w:tcPr>
          <w:p w:rsidR="009F20A3" w:rsidRPr="00FE5FA2" w:rsidRDefault="009F20A3"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40,34</w:t>
            </w:r>
          </w:p>
        </w:tc>
        <w:tc>
          <w:tcPr>
            <w:tcW w:w="603" w:type="dxa"/>
            <w:tcBorders>
              <w:top w:val="single" w:sz="8" w:space="0" w:color="000000"/>
              <w:left w:val="single" w:sz="8" w:space="0" w:color="000000"/>
              <w:bottom w:val="single" w:sz="8" w:space="0" w:color="000000"/>
              <w:right w:val="single" w:sz="8" w:space="0" w:color="000000"/>
            </w:tcBorders>
            <w:shd w:val="clear" w:color="auto" w:fill="auto"/>
          </w:tcPr>
          <w:p w:rsidR="009F20A3" w:rsidRPr="00FE5FA2" w:rsidRDefault="009F20A3"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0,03</w:t>
            </w:r>
          </w:p>
        </w:tc>
        <w:tc>
          <w:tcPr>
            <w:tcW w:w="575" w:type="dxa"/>
            <w:tcBorders>
              <w:top w:val="single" w:sz="8" w:space="0" w:color="000000"/>
              <w:left w:val="single" w:sz="8" w:space="0" w:color="000000"/>
              <w:bottom w:val="single" w:sz="8" w:space="0" w:color="000000"/>
              <w:right w:val="single" w:sz="8" w:space="0" w:color="000000"/>
            </w:tcBorders>
            <w:shd w:val="clear" w:color="auto" w:fill="auto"/>
          </w:tcPr>
          <w:p w:rsidR="009F20A3" w:rsidRPr="00FE5FA2" w:rsidRDefault="009F20A3"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34,53</w:t>
            </w:r>
          </w:p>
        </w:tc>
        <w:tc>
          <w:tcPr>
            <w:tcW w:w="603" w:type="dxa"/>
            <w:tcBorders>
              <w:top w:val="single" w:sz="8" w:space="0" w:color="000000"/>
              <w:left w:val="single" w:sz="8" w:space="0" w:color="000000"/>
              <w:bottom w:val="single" w:sz="8" w:space="0" w:color="000000"/>
              <w:right w:val="single" w:sz="8" w:space="0" w:color="000000"/>
            </w:tcBorders>
            <w:shd w:val="clear" w:color="auto" w:fill="auto"/>
          </w:tcPr>
          <w:p w:rsidR="009F20A3" w:rsidRPr="00FE5FA2" w:rsidRDefault="009F20A3"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0,03</w:t>
            </w:r>
          </w:p>
        </w:tc>
        <w:tc>
          <w:tcPr>
            <w:tcW w:w="575" w:type="dxa"/>
            <w:tcBorders>
              <w:top w:val="single" w:sz="8" w:space="0" w:color="000000"/>
              <w:left w:val="single" w:sz="8" w:space="0" w:color="000000"/>
              <w:bottom w:val="single" w:sz="8" w:space="0" w:color="000000"/>
              <w:right w:val="single" w:sz="8" w:space="0" w:color="000000"/>
            </w:tcBorders>
            <w:shd w:val="clear" w:color="auto" w:fill="auto"/>
          </w:tcPr>
          <w:p w:rsidR="009F20A3" w:rsidRPr="00FE5FA2" w:rsidRDefault="009F20A3"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24,48</w:t>
            </w:r>
          </w:p>
        </w:tc>
        <w:tc>
          <w:tcPr>
            <w:tcW w:w="825" w:type="dxa"/>
            <w:tcBorders>
              <w:top w:val="single" w:sz="8" w:space="0" w:color="000000"/>
              <w:left w:val="single" w:sz="8" w:space="0" w:color="000000"/>
              <w:bottom w:val="single" w:sz="8" w:space="0" w:color="000000"/>
              <w:right w:val="single" w:sz="4" w:space="0" w:color="000000"/>
            </w:tcBorders>
            <w:shd w:val="clear" w:color="auto" w:fill="auto"/>
          </w:tcPr>
          <w:p w:rsidR="009F20A3" w:rsidRPr="00FE5FA2" w:rsidRDefault="009F20A3"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0,00</w:t>
            </w:r>
          </w:p>
        </w:tc>
      </w:tr>
      <w:tr w:rsidR="00FE5FA2" w:rsidRPr="00FE5FA2" w:rsidTr="00FE5FA2">
        <w:trPr>
          <w:jc w:val="center"/>
        </w:trPr>
        <w:tc>
          <w:tcPr>
            <w:tcW w:w="700" w:type="dxa"/>
            <w:tcBorders>
              <w:top w:val="single" w:sz="8" w:space="0" w:color="000000"/>
              <w:left w:val="single" w:sz="8" w:space="0" w:color="000000"/>
              <w:bottom w:val="single" w:sz="8" w:space="0" w:color="000000"/>
              <w:right w:val="single" w:sz="8" w:space="0" w:color="000000"/>
            </w:tcBorders>
            <w:shd w:val="clear" w:color="auto" w:fill="auto"/>
          </w:tcPr>
          <w:p w:rsidR="009F20A3" w:rsidRPr="00FE5FA2" w:rsidRDefault="009F20A3" w:rsidP="0083507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Kepulauan Riau</w:t>
            </w:r>
          </w:p>
        </w:tc>
        <w:tc>
          <w:tcPr>
            <w:tcW w:w="575" w:type="dxa"/>
            <w:tcBorders>
              <w:top w:val="single" w:sz="8" w:space="0" w:color="000000"/>
              <w:left w:val="single" w:sz="8" w:space="0" w:color="000000"/>
              <w:bottom w:val="single" w:sz="8" w:space="0" w:color="000000"/>
              <w:right w:val="single" w:sz="8" w:space="0" w:color="000000"/>
            </w:tcBorders>
            <w:shd w:val="clear" w:color="auto" w:fill="auto"/>
          </w:tcPr>
          <w:p w:rsidR="009F20A3" w:rsidRPr="00FE5FA2" w:rsidRDefault="009F20A3"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3,72</w:t>
            </w:r>
          </w:p>
        </w:tc>
        <w:tc>
          <w:tcPr>
            <w:tcW w:w="603" w:type="dxa"/>
            <w:tcBorders>
              <w:top w:val="single" w:sz="8" w:space="0" w:color="000000"/>
              <w:left w:val="single" w:sz="8" w:space="0" w:color="000000"/>
              <w:bottom w:val="single" w:sz="8" w:space="0" w:color="000000"/>
              <w:right w:val="single" w:sz="8" w:space="0" w:color="000000"/>
            </w:tcBorders>
            <w:shd w:val="clear" w:color="auto" w:fill="auto"/>
          </w:tcPr>
          <w:p w:rsidR="009F20A3" w:rsidRPr="00FE5FA2" w:rsidRDefault="009F20A3"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0,09</w:t>
            </w:r>
          </w:p>
        </w:tc>
        <w:tc>
          <w:tcPr>
            <w:tcW w:w="575" w:type="dxa"/>
            <w:tcBorders>
              <w:top w:val="single" w:sz="8" w:space="0" w:color="000000"/>
              <w:left w:val="single" w:sz="8" w:space="0" w:color="000000"/>
              <w:bottom w:val="single" w:sz="8" w:space="0" w:color="000000"/>
              <w:right w:val="single" w:sz="8" w:space="0" w:color="000000"/>
            </w:tcBorders>
            <w:shd w:val="clear" w:color="auto" w:fill="auto"/>
          </w:tcPr>
          <w:p w:rsidR="009F20A3" w:rsidRPr="00FE5FA2" w:rsidRDefault="009F20A3"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2,77</w:t>
            </w:r>
          </w:p>
        </w:tc>
        <w:tc>
          <w:tcPr>
            <w:tcW w:w="603" w:type="dxa"/>
            <w:tcBorders>
              <w:top w:val="single" w:sz="8" w:space="0" w:color="000000"/>
              <w:left w:val="single" w:sz="8" w:space="0" w:color="000000"/>
              <w:bottom w:val="single" w:sz="8" w:space="0" w:color="000000"/>
              <w:right w:val="single" w:sz="8" w:space="0" w:color="000000"/>
            </w:tcBorders>
            <w:shd w:val="clear" w:color="auto" w:fill="auto"/>
          </w:tcPr>
          <w:p w:rsidR="009F20A3" w:rsidRPr="00FE5FA2" w:rsidRDefault="009F20A3"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0,02</w:t>
            </w:r>
          </w:p>
        </w:tc>
        <w:tc>
          <w:tcPr>
            <w:tcW w:w="575" w:type="dxa"/>
            <w:tcBorders>
              <w:top w:val="single" w:sz="8" w:space="0" w:color="000000"/>
              <w:left w:val="single" w:sz="8" w:space="0" w:color="000000"/>
              <w:bottom w:val="single" w:sz="8" w:space="0" w:color="000000"/>
              <w:right w:val="single" w:sz="8" w:space="0" w:color="000000"/>
            </w:tcBorders>
            <w:shd w:val="clear" w:color="auto" w:fill="auto"/>
          </w:tcPr>
          <w:p w:rsidR="009F20A3" w:rsidRPr="00FE5FA2" w:rsidRDefault="009F20A3"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2,63</w:t>
            </w:r>
          </w:p>
        </w:tc>
        <w:tc>
          <w:tcPr>
            <w:tcW w:w="825" w:type="dxa"/>
            <w:tcBorders>
              <w:top w:val="single" w:sz="8" w:space="0" w:color="000000"/>
              <w:left w:val="single" w:sz="8" w:space="0" w:color="000000"/>
              <w:bottom w:val="single" w:sz="8" w:space="0" w:color="000000"/>
              <w:right w:val="single" w:sz="4" w:space="0" w:color="000000"/>
            </w:tcBorders>
            <w:shd w:val="clear" w:color="auto" w:fill="auto"/>
          </w:tcPr>
          <w:p w:rsidR="009F20A3" w:rsidRPr="00FE5FA2" w:rsidRDefault="009F20A3"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0,05</w:t>
            </w:r>
          </w:p>
        </w:tc>
      </w:tr>
      <w:tr w:rsidR="00FE5FA2" w:rsidRPr="00FE5FA2" w:rsidTr="00FE5FA2">
        <w:trPr>
          <w:jc w:val="center"/>
        </w:trPr>
        <w:tc>
          <w:tcPr>
            <w:tcW w:w="700" w:type="dxa"/>
            <w:tcBorders>
              <w:top w:val="single" w:sz="8" w:space="0" w:color="000000"/>
              <w:left w:val="single" w:sz="8" w:space="0" w:color="000000"/>
              <w:bottom w:val="single" w:sz="8" w:space="0" w:color="000000"/>
              <w:right w:val="single" w:sz="8" w:space="0" w:color="000000"/>
            </w:tcBorders>
            <w:shd w:val="clear" w:color="auto" w:fill="auto"/>
          </w:tcPr>
          <w:p w:rsidR="009F20A3" w:rsidRPr="00FE5FA2" w:rsidRDefault="009F20A3" w:rsidP="0083507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DI Yogyakarta</w:t>
            </w:r>
          </w:p>
        </w:tc>
        <w:tc>
          <w:tcPr>
            <w:tcW w:w="575" w:type="dxa"/>
            <w:tcBorders>
              <w:top w:val="single" w:sz="8" w:space="0" w:color="000000"/>
              <w:left w:val="single" w:sz="8" w:space="0" w:color="000000"/>
              <w:bottom w:val="single" w:sz="8" w:space="0" w:color="000000"/>
              <w:right w:val="single" w:sz="8" w:space="0" w:color="000000"/>
            </w:tcBorders>
            <w:shd w:val="clear" w:color="auto" w:fill="auto"/>
          </w:tcPr>
          <w:p w:rsidR="009F20A3" w:rsidRPr="00FE5FA2" w:rsidRDefault="009F20A3"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27,49</w:t>
            </w:r>
          </w:p>
        </w:tc>
        <w:tc>
          <w:tcPr>
            <w:tcW w:w="603" w:type="dxa"/>
            <w:tcBorders>
              <w:top w:val="single" w:sz="8" w:space="0" w:color="000000"/>
              <w:left w:val="single" w:sz="8" w:space="0" w:color="000000"/>
              <w:bottom w:val="single" w:sz="8" w:space="0" w:color="000000"/>
              <w:right w:val="single" w:sz="8" w:space="0" w:color="000000"/>
            </w:tcBorders>
            <w:shd w:val="clear" w:color="auto" w:fill="auto"/>
          </w:tcPr>
          <w:p w:rsidR="009F20A3" w:rsidRPr="00FE5FA2" w:rsidRDefault="009F20A3"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0,29</w:t>
            </w:r>
          </w:p>
        </w:tc>
        <w:tc>
          <w:tcPr>
            <w:tcW w:w="575" w:type="dxa"/>
            <w:tcBorders>
              <w:top w:val="single" w:sz="8" w:space="0" w:color="000000"/>
              <w:left w:val="single" w:sz="8" w:space="0" w:color="000000"/>
              <w:bottom w:val="single" w:sz="8" w:space="0" w:color="000000"/>
              <w:right w:val="single" w:sz="8" w:space="0" w:color="000000"/>
            </w:tcBorders>
            <w:shd w:val="clear" w:color="auto" w:fill="auto"/>
          </w:tcPr>
          <w:p w:rsidR="009F20A3" w:rsidRPr="00FE5FA2" w:rsidRDefault="009F20A3"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26,16</w:t>
            </w:r>
          </w:p>
        </w:tc>
        <w:tc>
          <w:tcPr>
            <w:tcW w:w="603" w:type="dxa"/>
            <w:tcBorders>
              <w:top w:val="single" w:sz="8" w:space="0" w:color="000000"/>
              <w:left w:val="single" w:sz="8" w:space="0" w:color="000000"/>
              <w:bottom w:val="single" w:sz="8" w:space="0" w:color="000000"/>
              <w:right w:val="single" w:sz="8" w:space="0" w:color="000000"/>
            </w:tcBorders>
            <w:shd w:val="clear" w:color="auto" w:fill="auto"/>
          </w:tcPr>
          <w:p w:rsidR="009F20A3" w:rsidRPr="00FE5FA2" w:rsidRDefault="009F20A3"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0,26</w:t>
            </w:r>
          </w:p>
        </w:tc>
        <w:tc>
          <w:tcPr>
            <w:tcW w:w="575" w:type="dxa"/>
            <w:tcBorders>
              <w:top w:val="single" w:sz="8" w:space="0" w:color="000000"/>
              <w:left w:val="single" w:sz="8" w:space="0" w:color="000000"/>
              <w:bottom w:val="single" w:sz="8" w:space="0" w:color="000000"/>
              <w:right w:val="single" w:sz="8" w:space="0" w:color="000000"/>
            </w:tcBorders>
            <w:shd w:val="clear" w:color="auto" w:fill="auto"/>
          </w:tcPr>
          <w:p w:rsidR="009F20A3" w:rsidRPr="00FE5FA2" w:rsidRDefault="009F20A3"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19,77</w:t>
            </w:r>
          </w:p>
        </w:tc>
        <w:tc>
          <w:tcPr>
            <w:tcW w:w="825" w:type="dxa"/>
            <w:tcBorders>
              <w:top w:val="single" w:sz="8" w:space="0" w:color="000000"/>
              <w:left w:val="single" w:sz="8" w:space="0" w:color="000000"/>
              <w:bottom w:val="single" w:sz="8" w:space="0" w:color="000000"/>
              <w:right w:val="single" w:sz="4" w:space="0" w:color="000000"/>
            </w:tcBorders>
            <w:shd w:val="clear" w:color="auto" w:fill="auto"/>
          </w:tcPr>
          <w:p w:rsidR="009F20A3" w:rsidRPr="00FE5FA2" w:rsidRDefault="009F20A3"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0,29</w:t>
            </w:r>
          </w:p>
        </w:tc>
      </w:tr>
      <w:tr w:rsidR="00FE5FA2" w:rsidRPr="00FE5FA2" w:rsidTr="00FE5FA2">
        <w:trPr>
          <w:jc w:val="center"/>
        </w:trPr>
        <w:tc>
          <w:tcPr>
            <w:tcW w:w="700" w:type="dxa"/>
            <w:tcBorders>
              <w:top w:val="single" w:sz="8" w:space="0" w:color="000000"/>
              <w:left w:val="single" w:sz="8" w:space="0" w:color="000000"/>
              <w:bottom w:val="single" w:sz="8" w:space="0" w:color="000000"/>
              <w:right w:val="single" w:sz="8" w:space="0" w:color="000000"/>
            </w:tcBorders>
            <w:shd w:val="clear" w:color="auto" w:fill="auto"/>
          </w:tcPr>
          <w:p w:rsidR="009F20A3" w:rsidRPr="00FE5FA2" w:rsidRDefault="009F20A3" w:rsidP="0083507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DKI Jakarta</w:t>
            </w:r>
          </w:p>
        </w:tc>
        <w:tc>
          <w:tcPr>
            <w:tcW w:w="575" w:type="dxa"/>
            <w:tcBorders>
              <w:top w:val="single" w:sz="8" w:space="0" w:color="000000"/>
              <w:left w:val="single" w:sz="8" w:space="0" w:color="000000"/>
              <w:bottom w:val="single" w:sz="8" w:space="0" w:color="000000"/>
              <w:right w:val="single" w:sz="8" w:space="0" w:color="000000"/>
            </w:tcBorders>
            <w:shd w:val="clear" w:color="auto" w:fill="auto"/>
          </w:tcPr>
          <w:p w:rsidR="009F20A3" w:rsidRPr="00FE5FA2" w:rsidRDefault="009F20A3"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0,05</w:t>
            </w:r>
          </w:p>
        </w:tc>
        <w:tc>
          <w:tcPr>
            <w:tcW w:w="603" w:type="dxa"/>
            <w:tcBorders>
              <w:top w:val="single" w:sz="8" w:space="0" w:color="000000"/>
              <w:left w:val="single" w:sz="8" w:space="0" w:color="000000"/>
              <w:bottom w:val="single" w:sz="8" w:space="0" w:color="000000"/>
              <w:right w:val="single" w:sz="8" w:space="0" w:color="000000"/>
            </w:tcBorders>
            <w:shd w:val="clear" w:color="auto" w:fill="auto"/>
          </w:tcPr>
          <w:p w:rsidR="009F20A3" w:rsidRPr="00FE5FA2" w:rsidRDefault="009F20A3"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0,00</w:t>
            </w:r>
          </w:p>
        </w:tc>
        <w:tc>
          <w:tcPr>
            <w:tcW w:w="575" w:type="dxa"/>
            <w:tcBorders>
              <w:top w:val="single" w:sz="8" w:space="0" w:color="000000"/>
              <w:left w:val="single" w:sz="8" w:space="0" w:color="000000"/>
              <w:bottom w:val="single" w:sz="8" w:space="0" w:color="000000"/>
              <w:right w:val="single" w:sz="8" w:space="0" w:color="000000"/>
            </w:tcBorders>
            <w:shd w:val="clear" w:color="auto" w:fill="auto"/>
          </w:tcPr>
          <w:p w:rsidR="009F20A3" w:rsidRPr="00FE5FA2" w:rsidRDefault="009F20A3"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0,05</w:t>
            </w:r>
          </w:p>
        </w:tc>
        <w:tc>
          <w:tcPr>
            <w:tcW w:w="603" w:type="dxa"/>
            <w:tcBorders>
              <w:top w:val="single" w:sz="8" w:space="0" w:color="000000"/>
              <w:left w:val="single" w:sz="8" w:space="0" w:color="000000"/>
              <w:bottom w:val="single" w:sz="8" w:space="0" w:color="000000"/>
              <w:right w:val="single" w:sz="8" w:space="0" w:color="000000"/>
            </w:tcBorders>
            <w:shd w:val="clear" w:color="auto" w:fill="auto"/>
          </w:tcPr>
          <w:p w:rsidR="009F20A3" w:rsidRPr="00FE5FA2" w:rsidRDefault="009F20A3"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0,00</w:t>
            </w:r>
          </w:p>
        </w:tc>
        <w:tc>
          <w:tcPr>
            <w:tcW w:w="575" w:type="dxa"/>
            <w:tcBorders>
              <w:top w:val="single" w:sz="8" w:space="0" w:color="000000"/>
              <w:left w:val="single" w:sz="8" w:space="0" w:color="000000"/>
              <w:bottom w:val="single" w:sz="8" w:space="0" w:color="000000"/>
              <w:right w:val="single" w:sz="8" w:space="0" w:color="000000"/>
            </w:tcBorders>
            <w:shd w:val="clear" w:color="auto" w:fill="auto"/>
          </w:tcPr>
          <w:p w:rsidR="009F20A3" w:rsidRPr="00FE5FA2" w:rsidRDefault="009F20A3"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0,02</w:t>
            </w:r>
          </w:p>
        </w:tc>
        <w:tc>
          <w:tcPr>
            <w:tcW w:w="825" w:type="dxa"/>
            <w:tcBorders>
              <w:top w:val="single" w:sz="8" w:space="0" w:color="000000"/>
              <w:left w:val="single" w:sz="8" w:space="0" w:color="000000"/>
              <w:bottom w:val="single" w:sz="8" w:space="0" w:color="000000"/>
              <w:right w:val="single" w:sz="4" w:space="0" w:color="000000"/>
            </w:tcBorders>
            <w:shd w:val="clear" w:color="auto" w:fill="auto"/>
          </w:tcPr>
          <w:p w:rsidR="009F20A3" w:rsidRPr="00FE5FA2" w:rsidRDefault="009F20A3"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0,00</w:t>
            </w:r>
          </w:p>
        </w:tc>
      </w:tr>
      <w:tr w:rsidR="00FE5FA2" w:rsidRPr="00FE5FA2" w:rsidTr="00FE5FA2">
        <w:trPr>
          <w:jc w:val="center"/>
        </w:trPr>
        <w:tc>
          <w:tcPr>
            <w:tcW w:w="700" w:type="dxa"/>
            <w:tcBorders>
              <w:top w:val="single" w:sz="8" w:space="0" w:color="000000"/>
              <w:left w:val="single" w:sz="8" w:space="0" w:color="000000"/>
              <w:bottom w:val="single" w:sz="4"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Nusa Tenggara Timur</w:t>
            </w:r>
          </w:p>
        </w:tc>
        <w:tc>
          <w:tcPr>
            <w:tcW w:w="575" w:type="dxa"/>
            <w:tcBorders>
              <w:top w:val="single" w:sz="8" w:space="0" w:color="000000"/>
              <w:left w:val="single" w:sz="8" w:space="0" w:color="000000"/>
              <w:bottom w:val="single" w:sz="4" w:space="0" w:color="000000"/>
              <w:right w:val="single" w:sz="8" w:space="0" w:color="000000"/>
            </w:tcBorders>
            <w:shd w:val="clear" w:color="auto" w:fill="auto"/>
            <w:vAlign w:val="center"/>
          </w:tcPr>
          <w:p w:rsidR="009F20A3" w:rsidRPr="00FE5FA2" w:rsidRDefault="009F20A3"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78,17</w:t>
            </w:r>
          </w:p>
        </w:tc>
        <w:tc>
          <w:tcPr>
            <w:tcW w:w="603" w:type="dxa"/>
            <w:tcBorders>
              <w:top w:val="single" w:sz="8" w:space="0" w:color="000000"/>
              <w:left w:val="single" w:sz="8" w:space="0" w:color="000000"/>
              <w:bottom w:val="single" w:sz="4" w:space="0" w:color="000000"/>
              <w:right w:val="single" w:sz="8" w:space="0" w:color="000000"/>
            </w:tcBorders>
            <w:shd w:val="clear" w:color="auto" w:fill="auto"/>
            <w:vAlign w:val="center"/>
          </w:tcPr>
          <w:p w:rsidR="009F20A3" w:rsidRPr="00FE5FA2" w:rsidRDefault="009F20A3"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0,00</w:t>
            </w:r>
          </w:p>
        </w:tc>
        <w:tc>
          <w:tcPr>
            <w:tcW w:w="575" w:type="dxa"/>
            <w:tcBorders>
              <w:top w:val="single" w:sz="8" w:space="0" w:color="000000"/>
              <w:left w:val="single" w:sz="8" w:space="0" w:color="000000"/>
              <w:bottom w:val="single" w:sz="4" w:space="0" w:color="000000"/>
              <w:right w:val="single" w:sz="8" w:space="0" w:color="000000"/>
            </w:tcBorders>
            <w:shd w:val="clear" w:color="auto" w:fill="auto"/>
            <w:vAlign w:val="center"/>
          </w:tcPr>
          <w:p w:rsidR="009F20A3" w:rsidRPr="00FE5FA2" w:rsidRDefault="009F20A3"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77,58</w:t>
            </w:r>
          </w:p>
        </w:tc>
        <w:tc>
          <w:tcPr>
            <w:tcW w:w="603" w:type="dxa"/>
            <w:tcBorders>
              <w:top w:val="single" w:sz="8" w:space="0" w:color="000000"/>
              <w:left w:val="single" w:sz="8" w:space="0" w:color="000000"/>
              <w:bottom w:val="single" w:sz="4" w:space="0" w:color="000000"/>
              <w:right w:val="single" w:sz="8" w:space="0" w:color="000000"/>
            </w:tcBorders>
            <w:shd w:val="clear" w:color="auto" w:fill="auto"/>
            <w:vAlign w:val="center"/>
          </w:tcPr>
          <w:p w:rsidR="009F20A3" w:rsidRPr="00FE5FA2" w:rsidRDefault="009F20A3"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0,06</w:t>
            </w:r>
          </w:p>
        </w:tc>
        <w:tc>
          <w:tcPr>
            <w:tcW w:w="575" w:type="dxa"/>
            <w:tcBorders>
              <w:top w:val="single" w:sz="8" w:space="0" w:color="000000"/>
              <w:left w:val="single" w:sz="8" w:space="0" w:color="000000"/>
              <w:bottom w:val="single" w:sz="4" w:space="0" w:color="000000"/>
              <w:right w:val="single" w:sz="8" w:space="0" w:color="000000"/>
            </w:tcBorders>
            <w:shd w:val="clear" w:color="auto" w:fill="auto"/>
            <w:vAlign w:val="center"/>
          </w:tcPr>
          <w:p w:rsidR="009F20A3" w:rsidRPr="00FE5FA2" w:rsidRDefault="009F20A3"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74,81</w:t>
            </w:r>
          </w:p>
        </w:tc>
        <w:tc>
          <w:tcPr>
            <w:tcW w:w="825" w:type="dxa"/>
            <w:tcBorders>
              <w:top w:val="single" w:sz="8" w:space="0" w:color="000000"/>
              <w:left w:val="single" w:sz="8" w:space="0" w:color="000000"/>
              <w:bottom w:val="single" w:sz="4" w:space="0" w:color="000000"/>
              <w:right w:val="single" w:sz="4" w:space="0" w:color="000000"/>
            </w:tcBorders>
            <w:shd w:val="clear" w:color="auto" w:fill="auto"/>
            <w:vAlign w:val="center"/>
          </w:tcPr>
          <w:p w:rsidR="009F20A3" w:rsidRPr="00FE5FA2" w:rsidRDefault="009F20A3"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0,00</w:t>
            </w:r>
          </w:p>
        </w:tc>
      </w:tr>
      <w:tr w:rsidR="00FE5FA2" w:rsidRPr="00FE5FA2" w:rsidTr="00FE5FA2">
        <w:trPr>
          <w:trHeight w:val="352"/>
          <w:jc w:val="center"/>
        </w:trPr>
        <w:tc>
          <w:tcPr>
            <w:tcW w:w="700" w:type="dxa"/>
            <w:tcBorders>
              <w:top w:val="single" w:sz="4"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Bali</w:t>
            </w:r>
          </w:p>
        </w:tc>
        <w:tc>
          <w:tcPr>
            <w:tcW w:w="575" w:type="dxa"/>
            <w:tcBorders>
              <w:top w:val="single" w:sz="4"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26,35</w:t>
            </w:r>
          </w:p>
        </w:tc>
        <w:tc>
          <w:tcPr>
            <w:tcW w:w="603" w:type="dxa"/>
            <w:tcBorders>
              <w:top w:val="single" w:sz="4"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0,00</w:t>
            </w:r>
          </w:p>
        </w:tc>
        <w:tc>
          <w:tcPr>
            <w:tcW w:w="575" w:type="dxa"/>
            <w:tcBorders>
              <w:top w:val="single" w:sz="4"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23,59</w:t>
            </w:r>
          </w:p>
        </w:tc>
        <w:tc>
          <w:tcPr>
            <w:tcW w:w="603" w:type="dxa"/>
            <w:tcBorders>
              <w:top w:val="single" w:sz="4"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0,00</w:t>
            </w:r>
          </w:p>
        </w:tc>
        <w:tc>
          <w:tcPr>
            <w:tcW w:w="575" w:type="dxa"/>
            <w:tcBorders>
              <w:top w:val="single" w:sz="4"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18,63</w:t>
            </w:r>
          </w:p>
        </w:tc>
        <w:tc>
          <w:tcPr>
            <w:tcW w:w="825" w:type="dxa"/>
            <w:tcBorders>
              <w:top w:val="single" w:sz="4"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FE5FA2">
            <w:pPr>
              <w:ind w:left="-69" w:right="-97"/>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0,00</w:t>
            </w:r>
          </w:p>
        </w:tc>
      </w:tr>
      <w:tr w:rsidR="00FE5FA2" w:rsidRPr="00FE5FA2" w:rsidTr="00FE5FA2">
        <w:trPr>
          <w:jc w:val="center"/>
        </w:trPr>
        <w:tc>
          <w:tcPr>
            <w:tcW w:w="7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Kalimantan Tengah</w:t>
            </w:r>
          </w:p>
        </w:tc>
        <w:tc>
          <w:tcPr>
            <w:tcW w:w="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30,40</w:t>
            </w:r>
          </w:p>
        </w:tc>
        <w:tc>
          <w:tcPr>
            <w:tcW w:w="60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0,04</w:t>
            </w:r>
          </w:p>
        </w:tc>
        <w:tc>
          <w:tcPr>
            <w:tcW w:w="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25,19</w:t>
            </w:r>
          </w:p>
        </w:tc>
        <w:tc>
          <w:tcPr>
            <w:tcW w:w="60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0,02</w:t>
            </w:r>
          </w:p>
        </w:tc>
        <w:tc>
          <w:tcPr>
            <w:tcW w:w="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15,69</w:t>
            </w:r>
          </w:p>
        </w:tc>
        <w:tc>
          <w:tcPr>
            <w:tcW w:w="8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0,00</w:t>
            </w:r>
          </w:p>
        </w:tc>
      </w:tr>
      <w:tr w:rsidR="00FE5FA2" w:rsidRPr="00FE5FA2" w:rsidTr="00FE5FA2">
        <w:trPr>
          <w:jc w:val="center"/>
        </w:trPr>
        <w:tc>
          <w:tcPr>
            <w:tcW w:w="7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Kalimantan Timur</w:t>
            </w:r>
          </w:p>
        </w:tc>
        <w:tc>
          <w:tcPr>
            <w:tcW w:w="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4,89</w:t>
            </w:r>
          </w:p>
        </w:tc>
        <w:tc>
          <w:tcPr>
            <w:tcW w:w="60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0,30</w:t>
            </w:r>
          </w:p>
        </w:tc>
        <w:tc>
          <w:tcPr>
            <w:tcW w:w="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3,10</w:t>
            </w:r>
          </w:p>
        </w:tc>
        <w:tc>
          <w:tcPr>
            <w:tcW w:w="60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0,27</w:t>
            </w:r>
          </w:p>
        </w:tc>
        <w:tc>
          <w:tcPr>
            <w:tcW w:w="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3,01</w:t>
            </w:r>
          </w:p>
        </w:tc>
        <w:tc>
          <w:tcPr>
            <w:tcW w:w="8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0,08</w:t>
            </w:r>
          </w:p>
        </w:tc>
      </w:tr>
      <w:tr w:rsidR="00FE5FA2" w:rsidRPr="00FE5FA2" w:rsidTr="00FE5FA2">
        <w:trPr>
          <w:jc w:val="center"/>
        </w:trPr>
        <w:tc>
          <w:tcPr>
            <w:tcW w:w="7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Sulawesi Tengah</w:t>
            </w:r>
          </w:p>
        </w:tc>
        <w:tc>
          <w:tcPr>
            <w:tcW w:w="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56,43</w:t>
            </w:r>
          </w:p>
        </w:tc>
        <w:tc>
          <w:tcPr>
            <w:tcW w:w="60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5,41</w:t>
            </w:r>
          </w:p>
        </w:tc>
        <w:tc>
          <w:tcPr>
            <w:tcW w:w="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50,73</w:t>
            </w:r>
          </w:p>
        </w:tc>
        <w:tc>
          <w:tcPr>
            <w:tcW w:w="60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4,41</w:t>
            </w:r>
          </w:p>
        </w:tc>
        <w:tc>
          <w:tcPr>
            <w:tcW w:w="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36,09</w:t>
            </w:r>
          </w:p>
        </w:tc>
        <w:tc>
          <w:tcPr>
            <w:tcW w:w="8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1,56</w:t>
            </w:r>
          </w:p>
        </w:tc>
      </w:tr>
      <w:tr w:rsidR="00FE5FA2" w:rsidRPr="00FE5FA2" w:rsidTr="00FE5FA2">
        <w:trPr>
          <w:jc w:val="center"/>
        </w:trPr>
        <w:tc>
          <w:tcPr>
            <w:tcW w:w="7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Sulawesi Selatan</w:t>
            </w:r>
          </w:p>
        </w:tc>
        <w:tc>
          <w:tcPr>
            <w:tcW w:w="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18,98</w:t>
            </w:r>
          </w:p>
        </w:tc>
        <w:tc>
          <w:tcPr>
            <w:tcW w:w="60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0,84</w:t>
            </w:r>
          </w:p>
        </w:tc>
        <w:tc>
          <w:tcPr>
            <w:tcW w:w="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15,56</w:t>
            </w:r>
          </w:p>
        </w:tc>
        <w:tc>
          <w:tcPr>
            <w:tcW w:w="60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0,51</w:t>
            </w:r>
          </w:p>
        </w:tc>
        <w:tc>
          <w:tcPr>
            <w:tcW w:w="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11,61</w:t>
            </w:r>
          </w:p>
        </w:tc>
        <w:tc>
          <w:tcPr>
            <w:tcW w:w="8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0,43</w:t>
            </w:r>
          </w:p>
        </w:tc>
      </w:tr>
      <w:tr w:rsidR="00FE5FA2" w:rsidRPr="00FE5FA2" w:rsidTr="00FE5FA2">
        <w:trPr>
          <w:jc w:val="center"/>
        </w:trPr>
        <w:tc>
          <w:tcPr>
            <w:tcW w:w="7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Papua</w:t>
            </w:r>
          </w:p>
        </w:tc>
        <w:tc>
          <w:tcPr>
            <w:tcW w:w="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67,74</w:t>
            </w:r>
          </w:p>
        </w:tc>
        <w:tc>
          <w:tcPr>
            <w:tcW w:w="60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0,10</w:t>
            </w:r>
          </w:p>
        </w:tc>
        <w:tc>
          <w:tcPr>
            <w:tcW w:w="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67,04</w:t>
            </w:r>
          </w:p>
        </w:tc>
        <w:tc>
          <w:tcPr>
            <w:tcW w:w="60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0,14</w:t>
            </w:r>
          </w:p>
        </w:tc>
        <w:tc>
          <w:tcPr>
            <w:tcW w:w="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64,37</w:t>
            </w:r>
          </w:p>
        </w:tc>
        <w:tc>
          <w:tcPr>
            <w:tcW w:w="8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0,04</w:t>
            </w:r>
          </w:p>
        </w:tc>
      </w:tr>
      <w:tr w:rsidR="00FE5FA2" w:rsidRPr="00FE5FA2" w:rsidTr="00FE5FA2">
        <w:trPr>
          <w:jc w:val="center"/>
        </w:trPr>
        <w:tc>
          <w:tcPr>
            <w:tcW w:w="7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Papua Barat</w:t>
            </w:r>
          </w:p>
        </w:tc>
        <w:tc>
          <w:tcPr>
            <w:tcW w:w="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35,55</w:t>
            </w:r>
          </w:p>
        </w:tc>
        <w:tc>
          <w:tcPr>
            <w:tcW w:w="60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0,10</w:t>
            </w:r>
          </w:p>
        </w:tc>
        <w:tc>
          <w:tcPr>
            <w:tcW w:w="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39,01</w:t>
            </w:r>
          </w:p>
        </w:tc>
        <w:tc>
          <w:tcPr>
            <w:tcW w:w="60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0,31</w:t>
            </w:r>
          </w:p>
        </w:tc>
        <w:tc>
          <w:tcPr>
            <w:tcW w:w="5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27,16</w:t>
            </w:r>
          </w:p>
        </w:tc>
        <w:tc>
          <w:tcPr>
            <w:tcW w:w="8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color w:val="0D0D0D"/>
                <w:sz w:val="18"/>
                <w:szCs w:val="18"/>
              </w:rPr>
            </w:pPr>
            <w:r w:rsidRPr="00FE5FA2">
              <w:rPr>
                <w:rFonts w:asciiTheme="majorBidi" w:eastAsia="Calibri" w:hAnsiTheme="majorBidi" w:cstheme="majorBidi"/>
                <w:color w:val="0D0D0D"/>
                <w:sz w:val="18"/>
                <w:szCs w:val="18"/>
              </w:rPr>
              <w:t>0,00</w:t>
            </w:r>
          </w:p>
        </w:tc>
      </w:tr>
      <w:tr w:rsidR="00FE5FA2" w:rsidRPr="00FE5FA2" w:rsidTr="00FE5FA2">
        <w:trPr>
          <w:jc w:val="center"/>
        </w:trPr>
        <w:tc>
          <w:tcPr>
            <w:tcW w:w="700" w:type="dxa"/>
            <w:tcBorders>
              <w:top w:val="single" w:sz="8" w:space="0" w:color="000000"/>
              <w:left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b/>
                <w:color w:val="0D0D0D"/>
                <w:sz w:val="18"/>
                <w:szCs w:val="18"/>
              </w:rPr>
            </w:pPr>
            <w:r w:rsidRPr="00FE5FA2">
              <w:rPr>
                <w:rFonts w:asciiTheme="majorBidi" w:eastAsia="Calibri" w:hAnsiTheme="majorBidi" w:cstheme="majorBidi"/>
                <w:b/>
                <w:color w:val="0D0D0D"/>
                <w:sz w:val="18"/>
                <w:szCs w:val="18"/>
              </w:rPr>
              <w:t>Indonesia</w:t>
            </w:r>
          </w:p>
        </w:tc>
        <w:tc>
          <w:tcPr>
            <w:tcW w:w="575" w:type="dxa"/>
            <w:tcBorders>
              <w:top w:val="single" w:sz="8" w:space="0" w:color="000000"/>
              <w:left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b/>
                <w:color w:val="0D0D0D"/>
                <w:sz w:val="18"/>
                <w:szCs w:val="18"/>
              </w:rPr>
            </w:pPr>
            <w:r w:rsidRPr="00FE5FA2">
              <w:rPr>
                <w:rFonts w:asciiTheme="majorBidi" w:eastAsia="Calibri" w:hAnsiTheme="majorBidi" w:cstheme="majorBidi"/>
                <w:b/>
                <w:color w:val="0D0D0D"/>
                <w:sz w:val="18"/>
                <w:szCs w:val="18"/>
              </w:rPr>
              <w:t>24,40</w:t>
            </w:r>
          </w:p>
        </w:tc>
        <w:tc>
          <w:tcPr>
            <w:tcW w:w="603" w:type="dxa"/>
            <w:tcBorders>
              <w:top w:val="single" w:sz="8" w:space="0" w:color="000000"/>
              <w:left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b/>
                <w:color w:val="0D0D0D"/>
                <w:sz w:val="18"/>
                <w:szCs w:val="18"/>
              </w:rPr>
            </w:pPr>
            <w:r w:rsidRPr="00FE5FA2">
              <w:rPr>
                <w:rFonts w:asciiTheme="majorBidi" w:eastAsia="Calibri" w:hAnsiTheme="majorBidi" w:cstheme="majorBidi"/>
                <w:b/>
                <w:color w:val="0D0D0D"/>
                <w:sz w:val="18"/>
                <w:szCs w:val="18"/>
              </w:rPr>
              <w:t>0,24</w:t>
            </w:r>
          </w:p>
        </w:tc>
        <w:tc>
          <w:tcPr>
            <w:tcW w:w="575" w:type="dxa"/>
            <w:tcBorders>
              <w:top w:val="single" w:sz="8" w:space="0" w:color="000000"/>
              <w:left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b/>
                <w:color w:val="0D0D0D"/>
                <w:sz w:val="18"/>
                <w:szCs w:val="18"/>
              </w:rPr>
            </w:pPr>
            <w:r w:rsidRPr="00FE5FA2">
              <w:rPr>
                <w:rFonts w:asciiTheme="majorBidi" w:eastAsia="Calibri" w:hAnsiTheme="majorBidi" w:cstheme="majorBidi"/>
                <w:b/>
                <w:color w:val="0D0D0D"/>
                <w:sz w:val="18"/>
                <w:szCs w:val="18"/>
              </w:rPr>
              <w:t>21,57</w:t>
            </w:r>
          </w:p>
        </w:tc>
        <w:tc>
          <w:tcPr>
            <w:tcW w:w="603" w:type="dxa"/>
            <w:tcBorders>
              <w:top w:val="single" w:sz="8" w:space="0" w:color="000000"/>
              <w:left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b/>
                <w:color w:val="0D0D0D"/>
                <w:sz w:val="18"/>
                <w:szCs w:val="18"/>
              </w:rPr>
            </w:pPr>
            <w:r w:rsidRPr="00FE5FA2">
              <w:rPr>
                <w:rFonts w:asciiTheme="majorBidi" w:eastAsia="Calibri" w:hAnsiTheme="majorBidi" w:cstheme="majorBidi"/>
                <w:b/>
                <w:color w:val="0D0D0D"/>
                <w:sz w:val="18"/>
                <w:szCs w:val="18"/>
              </w:rPr>
              <w:t>0,19</w:t>
            </w:r>
          </w:p>
        </w:tc>
        <w:tc>
          <w:tcPr>
            <w:tcW w:w="575" w:type="dxa"/>
            <w:tcBorders>
              <w:top w:val="single" w:sz="8" w:space="0" w:color="000000"/>
              <w:left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b/>
                <w:color w:val="0D0D0D"/>
                <w:sz w:val="18"/>
                <w:szCs w:val="18"/>
              </w:rPr>
            </w:pPr>
            <w:r w:rsidRPr="00FE5FA2">
              <w:rPr>
                <w:rFonts w:asciiTheme="majorBidi" w:eastAsia="Calibri" w:hAnsiTheme="majorBidi" w:cstheme="majorBidi"/>
                <w:b/>
                <w:color w:val="0D0D0D"/>
                <w:sz w:val="18"/>
                <w:szCs w:val="18"/>
              </w:rPr>
              <w:t>16,40</w:t>
            </w:r>
          </w:p>
        </w:tc>
        <w:tc>
          <w:tcPr>
            <w:tcW w:w="825" w:type="dxa"/>
            <w:tcBorders>
              <w:top w:val="single" w:sz="8" w:space="0" w:color="000000"/>
              <w:left w:val="single" w:sz="8" w:space="0" w:color="000000"/>
              <w:right w:val="single" w:sz="8" w:space="0" w:color="000000"/>
            </w:tcBorders>
            <w:shd w:val="clear" w:color="auto" w:fill="auto"/>
            <w:vAlign w:val="center"/>
          </w:tcPr>
          <w:p w:rsidR="009F20A3" w:rsidRPr="00FE5FA2" w:rsidRDefault="009F20A3" w:rsidP="00693919">
            <w:pPr>
              <w:jc w:val="center"/>
              <w:rPr>
                <w:rFonts w:asciiTheme="majorBidi" w:eastAsia="Calibri" w:hAnsiTheme="majorBidi" w:cstheme="majorBidi"/>
                <w:b/>
                <w:color w:val="0D0D0D"/>
                <w:sz w:val="18"/>
                <w:szCs w:val="18"/>
              </w:rPr>
            </w:pPr>
            <w:r w:rsidRPr="00FE5FA2">
              <w:rPr>
                <w:rFonts w:asciiTheme="majorBidi" w:eastAsia="Calibri" w:hAnsiTheme="majorBidi" w:cstheme="majorBidi"/>
                <w:b/>
                <w:color w:val="0D0D0D"/>
                <w:sz w:val="18"/>
                <w:szCs w:val="18"/>
              </w:rPr>
              <w:t>0,09</w:t>
            </w:r>
          </w:p>
        </w:tc>
      </w:tr>
    </w:tbl>
    <w:p w:rsidR="00693919" w:rsidRPr="00693919" w:rsidRDefault="00693919" w:rsidP="00693919">
      <w:pPr>
        <w:widowControl/>
        <w:rPr>
          <w:rFonts w:eastAsia="Times New Roman"/>
          <w:snapToGrid/>
          <w:sz w:val="18"/>
          <w:szCs w:val="18"/>
          <w:lang w:val="en"/>
        </w:rPr>
      </w:pPr>
      <w:r w:rsidRPr="00693919">
        <w:rPr>
          <w:rFonts w:eastAsia="Times New Roman"/>
          <w:snapToGrid/>
          <w:sz w:val="18"/>
          <w:szCs w:val="18"/>
          <w:lang w:val="en"/>
        </w:rPr>
        <w:t>Source: Processed from BPS data, Percentage of Households by Province and Fuel</w:t>
      </w:r>
      <w:r>
        <w:rPr>
          <w:rFonts w:eastAsia="Times New Roman"/>
          <w:snapToGrid/>
          <w:sz w:val="18"/>
          <w:szCs w:val="18"/>
          <w:lang w:val="en"/>
        </w:rPr>
        <w:t xml:space="preserve"> </w:t>
      </w:r>
      <w:r w:rsidRPr="00693919">
        <w:rPr>
          <w:rFonts w:eastAsia="Times New Roman"/>
          <w:snapToGrid/>
          <w:sz w:val="18"/>
          <w:szCs w:val="18"/>
          <w:lang w:val="en"/>
        </w:rPr>
        <w:t>Main for Cooking in 2001, 2007-2016 and 2018 [</w:t>
      </w:r>
      <w:r w:rsidR="00B40A30">
        <w:rPr>
          <w:rFonts w:eastAsia="Times New Roman"/>
          <w:snapToGrid/>
          <w:sz w:val="18"/>
          <w:szCs w:val="18"/>
          <w:lang w:val="en"/>
        </w:rPr>
        <w:t>1</w:t>
      </w:r>
      <w:r w:rsidR="000217BF">
        <w:rPr>
          <w:rFonts w:eastAsia="Times New Roman"/>
          <w:snapToGrid/>
          <w:sz w:val="18"/>
          <w:szCs w:val="18"/>
          <w:lang w:val="en"/>
        </w:rPr>
        <w:t>5</w:t>
      </w:r>
      <w:r w:rsidRPr="00693919">
        <w:rPr>
          <w:rFonts w:eastAsia="Times New Roman"/>
          <w:snapToGrid/>
          <w:sz w:val="18"/>
          <w:szCs w:val="18"/>
          <w:lang w:val="en"/>
        </w:rPr>
        <w:t>,</w:t>
      </w:r>
      <w:r w:rsidR="00B40A30">
        <w:rPr>
          <w:rFonts w:eastAsia="Times New Roman"/>
          <w:snapToGrid/>
          <w:sz w:val="18"/>
          <w:szCs w:val="18"/>
          <w:lang w:val="en"/>
        </w:rPr>
        <w:t>1</w:t>
      </w:r>
      <w:r w:rsidR="000217BF">
        <w:rPr>
          <w:rFonts w:eastAsia="Times New Roman"/>
          <w:snapToGrid/>
          <w:sz w:val="18"/>
          <w:szCs w:val="18"/>
          <w:lang w:val="en"/>
        </w:rPr>
        <w:t>7</w:t>
      </w:r>
      <w:r w:rsidRPr="00693919">
        <w:rPr>
          <w:rFonts w:eastAsia="Times New Roman"/>
          <w:snapToGrid/>
          <w:sz w:val="18"/>
          <w:szCs w:val="18"/>
          <w:lang w:val="en"/>
        </w:rPr>
        <w:t>].</w:t>
      </w:r>
    </w:p>
    <w:p w:rsidR="00E7327C" w:rsidRPr="00693919" w:rsidRDefault="00E7327C" w:rsidP="00E7327C">
      <w:pPr>
        <w:jc w:val="both"/>
        <w:rPr>
          <w:sz w:val="18"/>
          <w:szCs w:val="18"/>
        </w:rPr>
      </w:pPr>
    </w:p>
    <w:p w:rsidR="00B40A30" w:rsidRDefault="00B40A30" w:rsidP="00887257">
      <w:pPr>
        <w:pStyle w:val="ListParagraph"/>
        <w:numPr>
          <w:ilvl w:val="0"/>
          <w:numId w:val="41"/>
        </w:numPr>
        <w:ind w:left="270" w:hanging="270"/>
        <w:rPr>
          <w:b/>
          <w:color w:val="000000" w:themeColor="text1"/>
          <w:sz w:val="18"/>
          <w:szCs w:val="18"/>
        </w:rPr>
      </w:pPr>
      <w:r w:rsidRPr="00887257">
        <w:rPr>
          <w:b/>
          <w:color w:val="000000" w:themeColor="text1"/>
          <w:sz w:val="18"/>
          <w:szCs w:val="18"/>
        </w:rPr>
        <w:t>DISCUSSION</w:t>
      </w:r>
      <w:bookmarkStart w:id="0" w:name="_GoBack"/>
      <w:bookmarkEnd w:id="0"/>
    </w:p>
    <w:p w:rsidR="00516BB3" w:rsidRDefault="00516BB3" w:rsidP="00516BB3">
      <w:pPr>
        <w:pStyle w:val="ListParagraph"/>
        <w:ind w:left="270"/>
        <w:rPr>
          <w:b/>
          <w:color w:val="000000" w:themeColor="text1"/>
          <w:sz w:val="18"/>
          <w:szCs w:val="18"/>
        </w:rPr>
      </w:pPr>
    </w:p>
    <w:p w:rsidR="008154AD" w:rsidRPr="000100E1" w:rsidRDefault="008154AD" w:rsidP="002E74C7">
      <w:pPr>
        <w:pStyle w:val="ListParagraph"/>
        <w:widowControl/>
        <w:numPr>
          <w:ilvl w:val="0"/>
          <w:numId w:val="43"/>
        </w:numPr>
        <w:ind w:left="270" w:hanging="270"/>
        <w:jc w:val="both"/>
        <w:rPr>
          <w:rFonts w:eastAsia="Times New Roman"/>
          <w:noProof w:val="0"/>
          <w:snapToGrid/>
          <w:sz w:val="18"/>
          <w:szCs w:val="18"/>
          <w:lang w:val="en"/>
        </w:rPr>
      </w:pPr>
      <w:r w:rsidRPr="000100E1">
        <w:rPr>
          <w:rFonts w:eastAsia="Times New Roman"/>
          <w:noProof w:val="0"/>
          <w:snapToGrid/>
          <w:sz w:val="18"/>
          <w:szCs w:val="18"/>
          <w:lang w:val="en"/>
        </w:rPr>
        <w:t xml:space="preserve">From the results of logistic regression analysis in Sumedang, there </w:t>
      </w:r>
      <w:r w:rsidR="006A7B27" w:rsidRPr="000100E1">
        <w:rPr>
          <w:rFonts w:eastAsia="Times New Roman"/>
          <w:noProof w:val="0"/>
          <w:snapToGrid/>
          <w:sz w:val="18"/>
          <w:szCs w:val="18"/>
          <w:lang w:val="en"/>
        </w:rPr>
        <w:t>is</w:t>
      </w:r>
      <w:r w:rsidRPr="000100E1">
        <w:rPr>
          <w:rFonts w:eastAsia="Times New Roman"/>
          <w:noProof w:val="0"/>
          <w:snapToGrid/>
          <w:sz w:val="18"/>
          <w:szCs w:val="18"/>
          <w:lang w:val="en"/>
        </w:rPr>
        <w:t xml:space="preserve"> a decrease in the use of solid fuels and LPG in 2025 as shown in Figure 3.1. However, the use of biogas, experienced a very significant increase in 2025.</w:t>
      </w:r>
    </w:p>
    <w:p w:rsidR="00887257" w:rsidRPr="008154AD" w:rsidRDefault="008154AD" w:rsidP="008154AD">
      <w:pPr>
        <w:pStyle w:val="ListParagraph"/>
        <w:ind w:left="270"/>
        <w:jc w:val="both"/>
        <w:rPr>
          <w:b/>
          <w:color w:val="000000" w:themeColor="text1"/>
          <w:sz w:val="18"/>
          <w:szCs w:val="18"/>
          <w:lang w:val="en-US"/>
        </w:rPr>
      </w:pPr>
      <w:r w:rsidRPr="00C036EA">
        <w:rPr>
          <w:lang w:val="en-US"/>
        </w:rPr>
        <w:drawing>
          <wp:anchor distT="0" distB="0" distL="114300" distR="114300" simplePos="0" relativeHeight="251658240" behindDoc="0" locked="0" layoutInCell="1" allowOverlap="1">
            <wp:simplePos x="0" y="0"/>
            <wp:positionH relativeFrom="margin">
              <wp:posOffset>3376378</wp:posOffset>
            </wp:positionH>
            <wp:positionV relativeFrom="paragraph">
              <wp:posOffset>14384</wp:posOffset>
            </wp:positionV>
            <wp:extent cx="2787512" cy="1812290"/>
            <wp:effectExtent l="0" t="0" r="13335" b="1651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887257" w:rsidRDefault="00887257" w:rsidP="00887257">
      <w:pPr>
        <w:rPr>
          <w:b/>
          <w:sz w:val="18"/>
          <w:szCs w:val="18"/>
        </w:rPr>
      </w:pPr>
    </w:p>
    <w:p w:rsidR="00887257" w:rsidRDefault="00887257" w:rsidP="00887257">
      <w:pPr>
        <w:rPr>
          <w:b/>
          <w:sz w:val="18"/>
          <w:szCs w:val="18"/>
        </w:rPr>
      </w:pPr>
    </w:p>
    <w:p w:rsidR="008154AD" w:rsidRDefault="008154AD" w:rsidP="00887257">
      <w:pPr>
        <w:rPr>
          <w:b/>
          <w:sz w:val="18"/>
          <w:szCs w:val="18"/>
        </w:rPr>
      </w:pPr>
    </w:p>
    <w:p w:rsidR="008154AD" w:rsidRDefault="008154AD" w:rsidP="00887257">
      <w:pPr>
        <w:rPr>
          <w:b/>
          <w:sz w:val="18"/>
          <w:szCs w:val="18"/>
        </w:rPr>
      </w:pPr>
    </w:p>
    <w:p w:rsidR="008154AD" w:rsidRDefault="008154AD" w:rsidP="00887257">
      <w:pPr>
        <w:rPr>
          <w:b/>
          <w:sz w:val="18"/>
          <w:szCs w:val="18"/>
        </w:rPr>
      </w:pPr>
    </w:p>
    <w:p w:rsidR="008154AD" w:rsidRDefault="008154AD" w:rsidP="00887257">
      <w:pPr>
        <w:rPr>
          <w:b/>
          <w:sz w:val="18"/>
          <w:szCs w:val="18"/>
        </w:rPr>
      </w:pPr>
    </w:p>
    <w:p w:rsidR="008154AD" w:rsidRDefault="008154AD" w:rsidP="00887257">
      <w:pPr>
        <w:rPr>
          <w:b/>
          <w:sz w:val="18"/>
          <w:szCs w:val="18"/>
        </w:rPr>
      </w:pPr>
    </w:p>
    <w:p w:rsidR="008154AD" w:rsidRDefault="008154AD" w:rsidP="00887257">
      <w:pPr>
        <w:rPr>
          <w:b/>
          <w:sz w:val="18"/>
          <w:szCs w:val="18"/>
        </w:rPr>
      </w:pPr>
    </w:p>
    <w:p w:rsidR="008154AD" w:rsidRDefault="008154AD" w:rsidP="00887257">
      <w:pPr>
        <w:rPr>
          <w:b/>
          <w:sz w:val="18"/>
          <w:szCs w:val="18"/>
        </w:rPr>
      </w:pPr>
    </w:p>
    <w:p w:rsidR="008154AD" w:rsidRDefault="008154AD" w:rsidP="00887257">
      <w:pPr>
        <w:rPr>
          <w:b/>
          <w:sz w:val="18"/>
          <w:szCs w:val="18"/>
        </w:rPr>
      </w:pPr>
    </w:p>
    <w:p w:rsidR="008154AD" w:rsidRDefault="008154AD" w:rsidP="00887257">
      <w:pPr>
        <w:rPr>
          <w:b/>
          <w:sz w:val="18"/>
          <w:szCs w:val="18"/>
        </w:rPr>
      </w:pPr>
    </w:p>
    <w:p w:rsidR="008154AD" w:rsidRDefault="008154AD" w:rsidP="00887257">
      <w:pPr>
        <w:rPr>
          <w:b/>
          <w:sz w:val="18"/>
          <w:szCs w:val="18"/>
        </w:rPr>
      </w:pPr>
    </w:p>
    <w:p w:rsidR="008154AD" w:rsidRDefault="008154AD" w:rsidP="00887257">
      <w:pPr>
        <w:rPr>
          <w:b/>
          <w:sz w:val="18"/>
          <w:szCs w:val="18"/>
        </w:rPr>
      </w:pPr>
    </w:p>
    <w:p w:rsidR="008154AD" w:rsidRPr="008154AD" w:rsidRDefault="007658AB" w:rsidP="00252496">
      <w:pPr>
        <w:jc w:val="center"/>
        <w:rPr>
          <w:sz w:val="18"/>
          <w:szCs w:val="18"/>
          <w:lang w:val="en-US"/>
        </w:rPr>
      </w:pPr>
      <w:r>
        <w:rPr>
          <w:sz w:val="18"/>
          <w:szCs w:val="18"/>
          <w:lang w:val="en-US"/>
        </w:rPr>
        <w:t>Picture 3.1 Results of Logistic R</w:t>
      </w:r>
      <w:r w:rsidR="008154AD" w:rsidRPr="008154AD">
        <w:rPr>
          <w:sz w:val="18"/>
          <w:szCs w:val="18"/>
          <w:lang w:val="en-US"/>
        </w:rPr>
        <w:t xml:space="preserve">egression </w:t>
      </w:r>
      <w:r>
        <w:rPr>
          <w:sz w:val="18"/>
          <w:szCs w:val="18"/>
          <w:lang w:val="en-US"/>
        </w:rPr>
        <w:t>A</w:t>
      </w:r>
      <w:r w:rsidR="008154AD" w:rsidRPr="008154AD">
        <w:rPr>
          <w:sz w:val="18"/>
          <w:szCs w:val="18"/>
          <w:lang w:val="en-US"/>
        </w:rPr>
        <w:t>nalysis</w:t>
      </w:r>
      <w:r w:rsidR="008154AD">
        <w:rPr>
          <w:sz w:val="18"/>
          <w:szCs w:val="18"/>
          <w:lang w:val="en-US"/>
        </w:rPr>
        <w:t xml:space="preserve"> </w:t>
      </w:r>
    </w:p>
    <w:p w:rsidR="00252496" w:rsidRDefault="00252496" w:rsidP="00252496">
      <w:pPr>
        <w:jc w:val="center"/>
        <w:rPr>
          <w:b/>
          <w:sz w:val="18"/>
          <w:szCs w:val="18"/>
        </w:rPr>
      </w:pPr>
    </w:p>
    <w:p w:rsidR="00252496" w:rsidRPr="000100E1" w:rsidRDefault="00252496" w:rsidP="000100E1">
      <w:pPr>
        <w:pStyle w:val="ListParagraph"/>
        <w:widowControl/>
        <w:numPr>
          <w:ilvl w:val="0"/>
          <w:numId w:val="43"/>
        </w:numPr>
        <w:ind w:left="270" w:hanging="270"/>
        <w:jc w:val="both"/>
        <w:rPr>
          <w:rFonts w:eastAsia="Times New Roman"/>
          <w:noProof w:val="0"/>
          <w:snapToGrid/>
          <w:sz w:val="18"/>
          <w:szCs w:val="18"/>
          <w:lang w:val="en"/>
        </w:rPr>
      </w:pPr>
      <w:r w:rsidRPr="000100E1">
        <w:rPr>
          <w:rFonts w:eastAsia="Times New Roman"/>
          <w:noProof w:val="0"/>
          <w:snapToGrid/>
          <w:sz w:val="18"/>
          <w:szCs w:val="18"/>
          <w:lang w:val="en"/>
        </w:rPr>
        <w:t>The potential contribution of the Sumedang population to the achievement of the primary renewable energy mix can be seen in Table 3.1.</w:t>
      </w:r>
    </w:p>
    <w:p w:rsidR="00657B34" w:rsidRPr="00657B34" w:rsidRDefault="00657B34" w:rsidP="00657B34">
      <w:pPr>
        <w:jc w:val="center"/>
        <w:rPr>
          <w:sz w:val="18"/>
          <w:szCs w:val="18"/>
        </w:rPr>
      </w:pPr>
      <w:r w:rsidRPr="00657B34">
        <w:rPr>
          <w:sz w:val="18"/>
          <w:szCs w:val="18"/>
        </w:rPr>
        <w:t>Tab</w:t>
      </w:r>
      <w:r w:rsidRPr="00657B34">
        <w:rPr>
          <w:sz w:val="18"/>
          <w:szCs w:val="18"/>
          <w:lang w:val="en-US"/>
        </w:rPr>
        <w:t>l</w:t>
      </w:r>
      <w:r w:rsidRPr="00657B34">
        <w:rPr>
          <w:sz w:val="18"/>
          <w:szCs w:val="18"/>
        </w:rPr>
        <w:t xml:space="preserve">e </w:t>
      </w:r>
      <w:r w:rsidRPr="00657B34">
        <w:rPr>
          <w:sz w:val="18"/>
          <w:szCs w:val="18"/>
          <w:lang w:val="en-US"/>
        </w:rPr>
        <w:t>3.1</w:t>
      </w:r>
    </w:p>
    <w:p w:rsidR="002C1577" w:rsidRDefault="00657B34" w:rsidP="00657B34">
      <w:pPr>
        <w:jc w:val="center"/>
        <w:rPr>
          <w:sz w:val="18"/>
          <w:szCs w:val="18"/>
          <w:lang w:val="en-US"/>
        </w:rPr>
      </w:pPr>
      <w:r>
        <w:rPr>
          <w:sz w:val="18"/>
          <w:szCs w:val="18"/>
        </w:rPr>
        <w:t>Potential</w:t>
      </w:r>
      <w:r w:rsidRPr="00657B34">
        <w:rPr>
          <w:sz w:val="18"/>
          <w:szCs w:val="18"/>
        </w:rPr>
        <w:t xml:space="preserve"> </w:t>
      </w:r>
      <w:r>
        <w:rPr>
          <w:sz w:val="18"/>
          <w:szCs w:val="18"/>
          <w:lang w:val="en-US"/>
        </w:rPr>
        <w:t>Population C</w:t>
      </w:r>
      <w:r w:rsidRPr="00657B34">
        <w:rPr>
          <w:sz w:val="18"/>
          <w:szCs w:val="18"/>
        </w:rPr>
        <w:t>ontribu</w:t>
      </w:r>
      <w:r>
        <w:rPr>
          <w:sz w:val="18"/>
          <w:szCs w:val="18"/>
          <w:lang w:val="en-US"/>
        </w:rPr>
        <w:t>tion</w:t>
      </w:r>
      <w:r w:rsidRPr="00657B34">
        <w:rPr>
          <w:sz w:val="18"/>
          <w:szCs w:val="18"/>
        </w:rPr>
        <w:t xml:space="preserve"> </w:t>
      </w:r>
      <w:r>
        <w:rPr>
          <w:sz w:val="18"/>
          <w:szCs w:val="18"/>
          <w:lang w:val="en-US"/>
        </w:rPr>
        <w:t xml:space="preserve">to Achievement of </w:t>
      </w:r>
    </w:p>
    <w:p w:rsidR="00657B34" w:rsidRPr="00657B34" w:rsidRDefault="00657B34" w:rsidP="00657B34">
      <w:pPr>
        <w:jc w:val="center"/>
        <w:rPr>
          <w:sz w:val="18"/>
          <w:szCs w:val="18"/>
        </w:rPr>
      </w:pPr>
      <w:r w:rsidRPr="00657B34">
        <w:rPr>
          <w:sz w:val="18"/>
          <w:szCs w:val="18"/>
        </w:rPr>
        <w:t>P</w:t>
      </w:r>
      <w:r>
        <w:rPr>
          <w:sz w:val="18"/>
          <w:szCs w:val="18"/>
          <w:lang w:val="en-US"/>
        </w:rPr>
        <w:t xml:space="preserve">rimary Energy Mix Renewable Energy in Sumedang </w:t>
      </w:r>
    </w:p>
    <w:tbl>
      <w:tblPr>
        <w:tblStyle w:val="TableGrid"/>
        <w:tblW w:w="3566" w:type="dxa"/>
        <w:jc w:val="center"/>
        <w:tblLook w:val="04A0" w:firstRow="1" w:lastRow="0" w:firstColumn="1" w:lastColumn="0" w:noHBand="0" w:noVBand="1"/>
      </w:tblPr>
      <w:tblGrid>
        <w:gridCol w:w="813"/>
        <w:gridCol w:w="1390"/>
        <w:gridCol w:w="1363"/>
      </w:tblGrid>
      <w:tr w:rsidR="00657B34" w:rsidRPr="00657B34" w:rsidTr="00A36528">
        <w:trPr>
          <w:trHeight w:val="208"/>
          <w:jc w:val="center"/>
        </w:trPr>
        <w:tc>
          <w:tcPr>
            <w:tcW w:w="813" w:type="dxa"/>
            <w:vAlign w:val="center"/>
          </w:tcPr>
          <w:p w:rsidR="00657B34" w:rsidRPr="00657B34" w:rsidRDefault="002C1577" w:rsidP="00657B34">
            <w:pPr>
              <w:tabs>
                <w:tab w:val="left" w:pos="0"/>
              </w:tabs>
              <w:jc w:val="center"/>
              <w:rPr>
                <w:sz w:val="18"/>
                <w:szCs w:val="18"/>
              </w:rPr>
            </w:pPr>
            <w:r>
              <w:rPr>
                <w:sz w:val="18"/>
                <w:szCs w:val="18"/>
              </w:rPr>
              <w:t>Fuel</w:t>
            </w:r>
          </w:p>
        </w:tc>
        <w:tc>
          <w:tcPr>
            <w:tcW w:w="1390" w:type="dxa"/>
            <w:vAlign w:val="center"/>
          </w:tcPr>
          <w:p w:rsidR="00657B34" w:rsidRPr="00657B34" w:rsidRDefault="00657B34" w:rsidP="00B70DBC">
            <w:pPr>
              <w:jc w:val="center"/>
              <w:rPr>
                <w:sz w:val="18"/>
                <w:szCs w:val="18"/>
              </w:rPr>
            </w:pPr>
            <w:r w:rsidRPr="00657B34">
              <w:rPr>
                <w:sz w:val="18"/>
                <w:szCs w:val="18"/>
              </w:rPr>
              <w:t>2018</w:t>
            </w:r>
          </w:p>
        </w:tc>
        <w:tc>
          <w:tcPr>
            <w:tcW w:w="1363" w:type="dxa"/>
            <w:vAlign w:val="center"/>
          </w:tcPr>
          <w:p w:rsidR="00657B34" w:rsidRPr="00657B34" w:rsidRDefault="00657B34" w:rsidP="00B70DBC">
            <w:pPr>
              <w:jc w:val="center"/>
              <w:rPr>
                <w:sz w:val="18"/>
                <w:szCs w:val="18"/>
              </w:rPr>
            </w:pPr>
            <w:r w:rsidRPr="00657B34">
              <w:rPr>
                <w:sz w:val="18"/>
                <w:szCs w:val="18"/>
              </w:rPr>
              <w:t>2025</w:t>
            </w:r>
          </w:p>
        </w:tc>
      </w:tr>
      <w:tr w:rsidR="00657B34" w:rsidRPr="00657B34" w:rsidTr="00A36528">
        <w:trPr>
          <w:trHeight w:val="208"/>
          <w:jc w:val="center"/>
        </w:trPr>
        <w:tc>
          <w:tcPr>
            <w:tcW w:w="813" w:type="dxa"/>
            <w:vAlign w:val="center"/>
          </w:tcPr>
          <w:p w:rsidR="00657B34" w:rsidRPr="00657B34" w:rsidRDefault="002C1577" w:rsidP="00657B34">
            <w:pPr>
              <w:tabs>
                <w:tab w:val="left" w:pos="0"/>
              </w:tabs>
              <w:jc w:val="center"/>
              <w:rPr>
                <w:sz w:val="18"/>
                <w:szCs w:val="18"/>
              </w:rPr>
            </w:pPr>
            <w:r>
              <w:rPr>
                <w:sz w:val="18"/>
                <w:szCs w:val="18"/>
              </w:rPr>
              <w:t>Solid</w:t>
            </w:r>
          </w:p>
        </w:tc>
        <w:tc>
          <w:tcPr>
            <w:tcW w:w="1390" w:type="dxa"/>
            <w:vAlign w:val="center"/>
          </w:tcPr>
          <w:p w:rsidR="00657B34" w:rsidRPr="00657B34" w:rsidRDefault="00657B34" w:rsidP="00B70DBC">
            <w:pPr>
              <w:jc w:val="center"/>
              <w:rPr>
                <w:sz w:val="18"/>
                <w:szCs w:val="18"/>
              </w:rPr>
            </w:pPr>
            <w:r w:rsidRPr="00657B34">
              <w:rPr>
                <w:sz w:val="18"/>
                <w:szCs w:val="18"/>
              </w:rPr>
              <w:t>0,29%</w:t>
            </w:r>
          </w:p>
        </w:tc>
        <w:tc>
          <w:tcPr>
            <w:tcW w:w="1363" w:type="dxa"/>
            <w:vAlign w:val="center"/>
          </w:tcPr>
          <w:p w:rsidR="00657B34" w:rsidRPr="00657B34" w:rsidRDefault="00657B34" w:rsidP="00B70DBC">
            <w:pPr>
              <w:jc w:val="center"/>
              <w:rPr>
                <w:sz w:val="18"/>
                <w:szCs w:val="18"/>
              </w:rPr>
            </w:pPr>
            <w:r w:rsidRPr="00657B34">
              <w:rPr>
                <w:sz w:val="18"/>
                <w:szCs w:val="18"/>
              </w:rPr>
              <w:t>0,23%</w:t>
            </w:r>
          </w:p>
        </w:tc>
      </w:tr>
      <w:tr w:rsidR="00657B34" w:rsidRPr="00657B34" w:rsidTr="00A36528">
        <w:trPr>
          <w:trHeight w:val="644"/>
          <w:jc w:val="center"/>
        </w:trPr>
        <w:tc>
          <w:tcPr>
            <w:tcW w:w="813" w:type="dxa"/>
            <w:vAlign w:val="center"/>
          </w:tcPr>
          <w:p w:rsidR="00657B34" w:rsidRPr="00657B34" w:rsidRDefault="002C1577" w:rsidP="00A36528">
            <w:pPr>
              <w:tabs>
                <w:tab w:val="left" w:pos="0"/>
              </w:tabs>
              <w:ind w:hanging="27"/>
              <w:jc w:val="center"/>
              <w:rPr>
                <w:sz w:val="18"/>
                <w:szCs w:val="18"/>
              </w:rPr>
            </w:pPr>
            <w:r>
              <w:rPr>
                <w:sz w:val="18"/>
                <w:szCs w:val="18"/>
                <w:lang w:val="en-US"/>
              </w:rPr>
              <w:t>Cattle Dung Biogas</w:t>
            </w:r>
          </w:p>
        </w:tc>
        <w:tc>
          <w:tcPr>
            <w:tcW w:w="1390" w:type="dxa"/>
            <w:vAlign w:val="center"/>
          </w:tcPr>
          <w:p w:rsidR="00657B34" w:rsidRPr="00657B34" w:rsidRDefault="00657B34" w:rsidP="00B70DBC">
            <w:pPr>
              <w:jc w:val="center"/>
              <w:rPr>
                <w:sz w:val="18"/>
                <w:szCs w:val="18"/>
              </w:rPr>
            </w:pPr>
            <w:r w:rsidRPr="00657B34">
              <w:rPr>
                <w:sz w:val="18"/>
                <w:szCs w:val="18"/>
              </w:rPr>
              <w:t>0,00089%</w:t>
            </w:r>
          </w:p>
        </w:tc>
        <w:tc>
          <w:tcPr>
            <w:tcW w:w="1363" w:type="dxa"/>
            <w:vAlign w:val="center"/>
          </w:tcPr>
          <w:p w:rsidR="00657B34" w:rsidRPr="00657B34" w:rsidRDefault="00657B34" w:rsidP="00B70DBC">
            <w:pPr>
              <w:jc w:val="center"/>
              <w:rPr>
                <w:sz w:val="18"/>
                <w:szCs w:val="18"/>
              </w:rPr>
            </w:pPr>
            <w:r w:rsidRPr="00657B34">
              <w:rPr>
                <w:sz w:val="18"/>
                <w:szCs w:val="18"/>
              </w:rPr>
              <w:t>0,0037%</w:t>
            </w:r>
          </w:p>
        </w:tc>
      </w:tr>
      <w:tr w:rsidR="00657B34" w:rsidRPr="00657B34" w:rsidTr="00A36528">
        <w:trPr>
          <w:trHeight w:val="191"/>
          <w:jc w:val="center"/>
        </w:trPr>
        <w:tc>
          <w:tcPr>
            <w:tcW w:w="813" w:type="dxa"/>
            <w:vAlign w:val="center"/>
          </w:tcPr>
          <w:p w:rsidR="00657B34" w:rsidRPr="002C1577" w:rsidRDefault="002C1577" w:rsidP="00657B34">
            <w:pPr>
              <w:tabs>
                <w:tab w:val="left" w:pos="0"/>
              </w:tabs>
              <w:jc w:val="center"/>
              <w:rPr>
                <w:sz w:val="18"/>
                <w:szCs w:val="18"/>
              </w:rPr>
            </w:pPr>
            <w:r w:rsidRPr="002C1577">
              <w:rPr>
                <w:sz w:val="18"/>
                <w:szCs w:val="18"/>
              </w:rPr>
              <w:t>T</w:t>
            </w:r>
            <w:r w:rsidR="00657B34" w:rsidRPr="002C1577">
              <w:rPr>
                <w:sz w:val="18"/>
                <w:szCs w:val="18"/>
              </w:rPr>
              <w:t xml:space="preserve">otal </w:t>
            </w:r>
          </w:p>
        </w:tc>
        <w:tc>
          <w:tcPr>
            <w:tcW w:w="1390" w:type="dxa"/>
            <w:vAlign w:val="center"/>
          </w:tcPr>
          <w:p w:rsidR="00657B34" w:rsidRPr="002C1577" w:rsidRDefault="00657B34" w:rsidP="00B70DBC">
            <w:pPr>
              <w:jc w:val="center"/>
              <w:rPr>
                <w:sz w:val="18"/>
                <w:szCs w:val="18"/>
              </w:rPr>
            </w:pPr>
            <w:r w:rsidRPr="002C1577">
              <w:rPr>
                <w:sz w:val="18"/>
                <w:szCs w:val="18"/>
              </w:rPr>
              <w:t>0,291%</w:t>
            </w:r>
          </w:p>
        </w:tc>
        <w:tc>
          <w:tcPr>
            <w:tcW w:w="1363" w:type="dxa"/>
            <w:vAlign w:val="center"/>
          </w:tcPr>
          <w:p w:rsidR="00657B34" w:rsidRPr="002C1577" w:rsidRDefault="00657B34" w:rsidP="00B70DBC">
            <w:pPr>
              <w:jc w:val="center"/>
              <w:rPr>
                <w:sz w:val="18"/>
                <w:szCs w:val="18"/>
              </w:rPr>
            </w:pPr>
            <w:r w:rsidRPr="002C1577">
              <w:rPr>
                <w:sz w:val="18"/>
                <w:szCs w:val="18"/>
              </w:rPr>
              <w:t>0,234%</w:t>
            </w:r>
          </w:p>
        </w:tc>
      </w:tr>
    </w:tbl>
    <w:p w:rsidR="00657B34" w:rsidRDefault="00657B34" w:rsidP="00657B34">
      <w:pPr>
        <w:jc w:val="center"/>
        <w:rPr>
          <w:b/>
          <w:sz w:val="18"/>
          <w:szCs w:val="18"/>
        </w:rPr>
      </w:pPr>
    </w:p>
    <w:p w:rsidR="00B464C6" w:rsidRPr="005C10F3" w:rsidRDefault="00B464C6" w:rsidP="000100E1">
      <w:pPr>
        <w:pStyle w:val="ListParagraph"/>
        <w:widowControl/>
        <w:numPr>
          <w:ilvl w:val="0"/>
          <w:numId w:val="43"/>
        </w:numPr>
        <w:ind w:left="270" w:hanging="270"/>
        <w:jc w:val="both"/>
        <w:rPr>
          <w:rFonts w:eastAsia="Times New Roman"/>
          <w:noProof w:val="0"/>
          <w:snapToGrid/>
          <w:sz w:val="18"/>
          <w:szCs w:val="18"/>
          <w:lang w:val="en"/>
        </w:rPr>
      </w:pPr>
      <w:r w:rsidRPr="00B464C6">
        <w:rPr>
          <w:rFonts w:eastAsia="Times New Roman"/>
          <w:noProof w:val="0"/>
          <w:snapToGrid/>
          <w:sz w:val="18"/>
          <w:szCs w:val="18"/>
          <w:lang w:val="en"/>
        </w:rPr>
        <w:t xml:space="preserve">From Table 3.1, for a national scale with a total of 514 </w:t>
      </w:r>
      <w:r>
        <w:rPr>
          <w:rFonts w:eastAsia="Times New Roman"/>
          <w:noProof w:val="0"/>
          <w:snapToGrid/>
          <w:sz w:val="18"/>
          <w:szCs w:val="18"/>
          <w:lang w:val="en"/>
        </w:rPr>
        <w:t>regencies/</w:t>
      </w:r>
      <w:r w:rsidRPr="00B464C6">
        <w:rPr>
          <w:rFonts w:eastAsia="Times New Roman"/>
          <w:noProof w:val="0"/>
          <w:snapToGrid/>
          <w:sz w:val="18"/>
          <w:szCs w:val="18"/>
          <w:lang w:val="en"/>
        </w:rPr>
        <w:t>cities, the potential contribution of the population can be calculated using the following assumption approach:</w:t>
      </w:r>
    </w:p>
    <w:p w:rsidR="000100E1" w:rsidRDefault="000100E1" w:rsidP="00B464C6">
      <w:pPr>
        <w:jc w:val="center"/>
        <w:rPr>
          <w:sz w:val="18"/>
          <w:szCs w:val="18"/>
        </w:rPr>
      </w:pPr>
    </w:p>
    <w:p w:rsidR="000100E1" w:rsidRDefault="000100E1" w:rsidP="00B464C6">
      <w:pPr>
        <w:jc w:val="center"/>
        <w:rPr>
          <w:sz w:val="18"/>
          <w:szCs w:val="18"/>
        </w:rPr>
      </w:pPr>
    </w:p>
    <w:p w:rsidR="000100E1" w:rsidRDefault="000100E1" w:rsidP="00B464C6">
      <w:pPr>
        <w:jc w:val="center"/>
        <w:rPr>
          <w:sz w:val="18"/>
          <w:szCs w:val="18"/>
        </w:rPr>
      </w:pPr>
    </w:p>
    <w:p w:rsidR="000100E1" w:rsidRDefault="000100E1" w:rsidP="00B464C6">
      <w:pPr>
        <w:jc w:val="center"/>
        <w:rPr>
          <w:sz w:val="18"/>
          <w:szCs w:val="18"/>
        </w:rPr>
      </w:pPr>
    </w:p>
    <w:p w:rsidR="00B464C6" w:rsidRPr="00B464C6" w:rsidRDefault="00B464C6" w:rsidP="00B464C6">
      <w:pPr>
        <w:jc w:val="center"/>
        <w:rPr>
          <w:sz w:val="18"/>
          <w:szCs w:val="18"/>
        </w:rPr>
      </w:pPr>
      <w:r w:rsidRPr="00B464C6">
        <w:rPr>
          <w:sz w:val="18"/>
          <w:szCs w:val="18"/>
        </w:rPr>
        <w:t>Tabl</w:t>
      </w:r>
      <w:r w:rsidRPr="00B464C6">
        <w:rPr>
          <w:sz w:val="18"/>
          <w:szCs w:val="18"/>
          <w:lang w:val="en-US"/>
        </w:rPr>
        <w:t>e</w:t>
      </w:r>
      <w:r w:rsidRPr="00B464C6">
        <w:rPr>
          <w:sz w:val="18"/>
          <w:szCs w:val="18"/>
        </w:rPr>
        <w:t xml:space="preserve"> 3.</w:t>
      </w:r>
      <w:r w:rsidRPr="00B464C6">
        <w:rPr>
          <w:sz w:val="18"/>
          <w:szCs w:val="18"/>
          <w:lang w:val="en-US"/>
        </w:rPr>
        <w:t>2</w:t>
      </w:r>
      <w:r w:rsidRPr="00B464C6">
        <w:rPr>
          <w:sz w:val="18"/>
          <w:szCs w:val="18"/>
        </w:rPr>
        <w:t xml:space="preserve"> </w:t>
      </w:r>
    </w:p>
    <w:p w:rsidR="00B464C6" w:rsidRPr="00B464C6" w:rsidRDefault="00B464C6" w:rsidP="00B464C6">
      <w:pPr>
        <w:jc w:val="center"/>
        <w:rPr>
          <w:sz w:val="18"/>
          <w:szCs w:val="18"/>
        </w:rPr>
      </w:pPr>
      <w:r>
        <w:rPr>
          <w:sz w:val="18"/>
          <w:szCs w:val="18"/>
        </w:rPr>
        <w:t>Potential</w:t>
      </w:r>
      <w:r w:rsidRPr="00B464C6">
        <w:rPr>
          <w:sz w:val="18"/>
          <w:szCs w:val="18"/>
        </w:rPr>
        <w:t xml:space="preserve"> </w:t>
      </w:r>
      <w:r>
        <w:rPr>
          <w:sz w:val="18"/>
          <w:szCs w:val="18"/>
          <w:lang w:val="en-US"/>
        </w:rPr>
        <w:t xml:space="preserve">Contributions of </w:t>
      </w:r>
      <w:r w:rsidRPr="00B464C6">
        <w:rPr>
          <w:sz w:val="18"/>
          <w:szCs w:val="18"/>
        </w:rPr>
        <w:t>Indonesia</w:t>
      </w:r>
      <w:r>
        <w:rPr>
          <w:sz w:val="18"/>
          <w:szCs w:val="18"/>
          <w:lang w:val="en-US"/>
        </w:rPr>
        <w:t>’s Population to the Renewable Energy Mix</w:t>
      </w:r>
    </w:p>
    <w:tbl>
      <w:tblPr>
        <w:tblStyle w:val="TableGrid"/>
        <w:tblW w:w="4577" w:type="dxa"/>
        <w:tblInd w:w="107" w:type="dxa"/>
        <w:tblLook w:val="04A0" w:firstRow="1" w:lastRow="0" w:firstColumn="1" w:lastColumn="0" w:noHBand="0" w:noVBand="1"/>
      </w:tblPr>
      <w:tblGrid>
        <w:gridCol w:w="1470"/>
        <w:gridCol w:w="1470"/>
        <w:gridCol w:w="866"/>
        <w:gridCol w:w="771"/>
      </w:tblGrid>
      <w:tr w:rsidR="00B464C6" w:rsidRPr="00B464C6" w:rsidTr="000100E1">
        <w:tc>
          <w:tcPr>
            <w:tcW w:w="1470" w:type="dxa"/>
            <w:vAlign w:val="center"/>
          </w:tcPr>
          <w:p w:rsidR="00B464C6" w:rsidRPr="00B464C6" w:rsidRDefault="00B464C6" w:rsidP="00B70DBC">
            <w:pPr>
              <w:jc w:val="center"/>
              <w:rPr>
                <w:sz w:val="18"/>
                <w:szCs w:val="18"/>
              </w:rPr>
            </w:pPr>
            <w:r>
              <w:rPr>
                <w:sz w:val="18"/>
                <w:szCs w:val="18"/>
                <w:lang w:val="en-US"/>
              </w:rPr>
              <w:t>Region</w:t>
            </w:r>
          </w:p>
        </w:tc>
        <w:tc>
          <w:tcPr>
            <w:tcW w:w="1470" w:type="dxa"/>
            <w:vAlign w:val="center"/>
          </w:tcPr>
          <w:p w:rsidR="00B464C6" w:rsidRPr="00B464C6" w:rsidRDefault="00B464C6" w:rsidP="00B70DBC">
            <w:pPr>
              <w:jc w:val="center"/>
              <w:rPr>
                <w:sz w:val="18"/>
                <w:szCs w:val="18"/>
              </w:rPr>
            </w:pPr>
            <w:r>
              <w:rPr>
                <w:sz w:val="18"/>
                <w:szCs w:val="18"/>
                <w:lang w:val="en-US"/>
              </w:rPr>
              <w:t>No. of Regencies</w:t>
            </w:r>
            <w:r w:rsidRPr="00B464C6">
              <w:rPr>
                <w:sz w:val="18"/>
                <w:szCs w:val="18"/>
              </w:rPr>
              <w:t>/</w:t>
            </w:r>
            <w:r>
              <w:rPr>
                <w:sz w:val="18"/>
                <w:szCs w:val="18"/>
                <w:lang w:val="en-US"/>
              </w:rPr>
              <w:t>Cities</w:t>
            </w:r>
          </w:p>
        </w:tc>
        <w:tc>
          <w:tcPr>
            <w:tcW w:w="866" w:type="dxa"/>
            <w:vAlign w:val="center"/>
          </w:tcPr>
          <w:p w:rsidR="00B464C6" w:rsidRPr="00B464C6" w:rsidRDefault="00B464C6" w:rsidP="00B70DBC">
            <w:pPr>
              <w:jc w:val="center"/>
              <w:rPr>
                <w:sz w:val="18"/>
                <w:szCs w:val="18"/>
              </w:rPr>
            </w:pPr>
            <w:r w:rsidRPr="00B464C6">
              <w:rPr>
                <w:sz w:val="18"/>
                <w:szCs w:val="18"/>
              </w:rPr>
              <w:t>2018</w:t>
            </w:r>
          </w:p>
        </w:tc>
        <w:tc>
          <w:tcPr>
            <w:tcW w:w="771" w:type="dxa"/>
            <w:vAlign w:val="center"/>
          </w:tcPr>
          <w:p w:rsidR="00B464C6" w:rsidRPr="00B464C6" w:rsidRDefault="00B464C6" w:rsidP="00B70DBC">
            <w:pPr>
              <w:jc w:val="center"/>
              <w:rPr>
                <w:sz w:val="18"/>
                <w:szCs w:val="18"/>
              </w:rPr>
            </w:pPr>
            <w:r w:rsidRPr="00B464C6">
              <w:rPr>
                <w:sz w:val="18"/>
                <w:szCs w:val="18"/>
              </w:rPr>
              <w:t>2025</w:t>
            </w:r>
          </w:p>
        </w:tc>
      </w:tr>
      <w:tr w:rsidR="00B464C6" w:rsidRPr="00B464C6" w:rsidTr="000100E1">
        <w:tc>
          <w:tcPr>
            <w:tcW w:w="1470" w:type="dxa"/>
            <w:vAlign w:val="center"/>
          </w:tcPr>
          <w:p w:rsidR="00B464C6" w:rsidRPr="00B464C6" w:rsidRDefault="00B464C6" w:rsidP="00B70DBC">
            <w:pPr>
              <w:jc w:val="center"/>
              <w:rPr>
                <w:sz w:val="18"/>
                <w:szCs w:val="18"/>
              </w:rPr>
            </w:pPr>
            <w:r w:rsidRPr="00B464C6">
              <w:rPr>
                <w:sz w:val="18"/>
                <w:szCs w:val="18"/>
              </w:rPr>
              <w:t>Sumedang</w:t>
            </w:r>
          </w:p>
        </w:tc>
        <w:tc>
          <w:tcPr>
            <w:tcW w:w="1470" w:type="dxa"/>
            <w:vAlign w:val="center"/>
          </w:tcPr>
          <w:p w:rsidR="00B464C6" w:rsidRPr="00B464C6" w:rsidRDefault="00B464C6" w:rsidP="00B70DBC">
            <w:pPr>
              <w:jc w:val="center"/>
              <w:rPr>
                <w:sz w:val="18"/>
                <w:szCs w:val="18"/>
              </w:rPr>
            </w:pPr>
            <w:r w:rsidRPr="00B464C6">
              <w:rPr>
                <w:sz w:val="18"/>
                <w:szCs w:val="18"/>
              </w:rPr>
              <w:t>1</w:t>
            </w:r>
          </w:p>
        </w:tc>
        <w:tc>
          <w:tcPr>
            <w:tcW w:w="866" w:type="dxa"/>
            <w:vAlign w:val="center"/>
          </w:tcPr>
          <w:p w:rsidR="00B464C6" w:rsidRPr="00B464C6" w:rsidRDefault="00B464C6" w:rsidP="00B70DBC">
            <w:pPr>
              <w:jc w:val="center"/>
              <w:rPr>
                <w:sz w:val="18"/>
                <w:szCs w:val="18"/>
              </w:rPr>
            </w:pPr>
            <w:r w:rsidRPr="00B464C6">
              <w:rPr>
                <w:sz w:val="18"/>
                <w:szCs w:val="18"/>
              </w:rPr>
              <w:t>0,291%</w:t>
            </w:r>
          </w:p>
        </w:tc>
        <w:tc>
          <w:tcPr>
            <w:tcW w:w="771" w:type="dxa"/>
            <w:vAlign w:val="center"/>
          </w:tcPr>
          <w:p w:rsidR="00B464C6" w:rsidRPr="00B464C6" w:rsidRDefault="00B464C6" w:rsidP="00B70DBC">
            <w:pPr>
              <w:jc w:val="center"/>
              <w:rPr>
                <w:sz w:val="18"/>
                <w:szCs w:val="18"/>
              </w:rPr>
            </w:pPr>
            <w:r w:rsidRPr="00B464C6">
              <w:rPr>
                <w:sz w:val="18"/>
                <w:szCs w:val="18"/>
              </w:rPr>
              <w:t>0,234%</w:t>
            </w:r>
          </w:p>
        </w:tc>
      </w:tr>
      <w:tr w:rsidR="00B464C6" w:rsidRPr="00B464C6" w:rsidTr="000100E1">
        <w:tc>
          <w:tcPr>
            <w:tcW w:w="1470" w:type="dxa"/>
            <w:vAlign w:val="center"/>
          </w:tcPr>
          <w:p w:rsidR="00B464C6" w:rsidRPr="00B464C6" w:rsidRDefault="00B464C6" w:rsidP="00B70DBC">
            <w:pPr>
              <w:jc w:val="center"/>
              <w:rPr>
                <w:sz w:val="18"/>
                <w:szCs w:val="18"/>
              </w:rPr>
            </w:pPr>
            <w:r>
              <w:rPr>
                <w:sz w:val="18"/>
                <w:szCs w:val="18"/>
              </w:rPr>
              <w:t>2% No. of Regencies</w:t>
            </w:r>
            <w:r w:rsidRPr="00B464C6">
              <w:rPr>
                <w:sz w:val="18"/>
                <w:szCs w:val="18"/>
              </w:rPr>
              <w:t>/</w:t>
            </w:r>
            <w:r>
              <w:rPr>
                <w:sz w:val="18"/>
                <w:szCs w:val="18"/>
                <w:lang w:val="en-US"/>
              </w:rPr>
              <w:t>Cities</w:t>
            </w:r>
          </w:p>
        </w:tc>
        <w:tc>
          <w:tcPr>
            <w:tcW w:w="1470" w:type="dxa"/>
            <w:vAlign w:val="center"/>
          </w:tcPr>
          <w:p w:rsidR="00B464C6" w:rsidRPr="00B464C6" w:rsidRDefault="00B464C6" w:rsidP="00B70DBC">
            <w:pPr>
              <w:jc w:val="center"/>
              <w:rPr>
                <w:sz w:val="18"/>
                <w:szCs w:val="18"/>
              </w:rPr>
            </w:pPr>
            <w:r w:rsidRPr="00B464C6">
              <w:rPr>
                <w:sz w:val="18"/>
                <w:szCs w:val="18"/>
              </w:rPr>
              <w:t>10</w:t>
            </w:r>
          </w:p>
        </w:tc>
        <w:tc>
          <w:tcPr>
            <w:tcW w:w="866" w:type="dxa"/>
            <w:vAlign w:val="center"/>
          </w:tcPr>
          <w:p w:rsidR="00B464C6" w:rsidRPr="00B464C6" w:rsidRDefault="00B464C6" w:rsidP="00B70DBC">
            <w:pPr>
              <w:jc w:val="center"/>
              <w:rPr>
                <w:sz w:val="18"/>
                <w:szCs w:val="18"/>
              </w:rPr>
            </w:pPr>
            <w:r w:rsidRPr="00B464C6">
              <w:rPr>
                <w:sz w:val="18"/>
                <w:szCs w:val="18"/>
              </w:rPr>
              <w:t>2,91%</w:t>
            </w:r>
          </w:p>
        </w:tc>
        <w:tc>
          <w:tcPr>
            <w:tcW w:w="771" w:type="dxa"/>
            <w:vAlign w:val="center"/>
          </w:tcPr>
          <w:p w:rsidR="00B464C6" w:rsidRPr="00B464C6" w:rsidRDefault="00B464C6" w:rsidP="00B70DBC">
            <w:pPr>
              <w:jc w:val="center"/>
              <w:rPr>
                <w:sz w:val="18"/>
                <w:szCs w:val="18"/>
              </w:rPr>
            </w:pPr>
            <w:r w:rsidRPr="00B464C6">
              <w:rPr>
                <w:sz w:val="18"/>
                <w:szCs w:val="18"/>
              </w:rPr>
              <w:t>2,34%</w:t>
            </w:r>
          </w:p>
        </w:tc>
      </w:tr>
      <w:tr w:rsidR="00B464C6" w:rsidRPr="00B464C6" w:rsidTr="000100E1">
        <w:tc>
          <w:tcPr>
            <w:tcW w:w="1470" w:type="dxa"/>
            <w:vAlign w:val="center"/>
          </w:tcPr>
          <w:p w:rsidR="00B464C6" w:rsidRPr="00B464C6" w:rsidRDefault="00B464C6" w:rsidP="00B70DBC">
            <w:pPr>
              <w:jc w:val="center"/>
              <w:rPr>
                <w:sz w:val="18"/>
                <w:szCs w:val="18"/>
              </w:rPr>
            </w:pPr>
            <w:r>
              <w:rPr>
                <w:sz w:val="18"/>
                <w:szCs w:val="18"/>
              </w:rPr>
              <w:t xml:space="preserve">5% No. Of </w:t>
            </w:r>
            <w:r>
              <w:rPr>
                <w:sz w:val="18"/>
                <w:szCs w:val="18"/>
                <w:lang w:val="en-US"/>
              </w:rPr>
              <w:t>Regencies</w:t>
            </w:r>
            <w:r w:rsidRPr="00B464C6">
              <w:rPr>
                <w:sz w:val="18"/>
                <w:szCs w:val="18"/>
              </w:rPr>
              <w:t>/</w:t>
            </w:r>
            <w:r>
              <w:rPr>
                <w:sz w:val="18"/>
                <w:szCs w:val="18"/>
                <w:lang w:val="en-US"/>
              </w:rPr>
              <w:t>Cities</w:t>
            </w:r>
          </w:p>
        </w:tc>
        <w:tc>
          <w:tcPr>
            <w:tcW w:w="1470" w:type="dxa"/>
            <w:vAlign w:val="center"/>
          </w:tcPr>
          <w:p w:rsidR="00B464C6" w:rsidRPr="00B464C6" w:rsidRDefault="00B464C6" w:rsidP="00B70DBC">
            <w:pPr>
              <w:jc w:val="center"/>
              <w:rPr>
                <w:sz w:val="18"/>
                <w:szCs w:val="18"/>
              </w:rPr>
            </w:pPr>
            <w:r w:rsidRPr="00B464C6">
              <w:rPr>
                <w:sz w:val="18"/>
                <w:szCs w:val="18"/>
              </w:rPr>
              <w:t>26</w:t>
            </w:r>
          </w:p>
        </w:tc>
        <w:tc>
          <w:tcPr>
            <w:tcW w:w="866" w:type="dxa"/>
            <w:vAlign w:val="center"/>
          </w:tcPr>
          <w:p w:rsidR="00B464C6" w:rsidRPr="00B464C6" w:rsidRDefault="00B464C6" w:rsidP="00B70DBC">
            <w:pPr>
              <w:jc w:val="center"/>
              <w:rPr>
                <w:sz w:val="18"/>
                <w:szCs w:val="18"/>
              </w:rPr>
            </w:pPr>
            <w:r w:rsidRPr="00B464C6">
              <w:rPr>
                <w:sz w:val="18"/>
                <w:szCs w:val="18"/>
              </w:rPr>
              <w:t>7,57%</w:t>
            </w:r>
          </w:p>
        </w:tc>
        <w:tc>
          <w:tcPr>
            <w:tcW w:w="771" w:type="dxa"/>
            <w:vAlign w:val="center"/>
          </w:tcPr>
          <w:p w:rsidR="00B464C6" w:rsidRPr="00B464C6" w:rsidRDefault="00B464C6" w:rsidP="00B70DBC">
            <w:pPr>
              <w:jc w:val="center"/>
              <w:rPr>
                <w:sz w:val="18"/>
                <w:szCs w:val="18"/>
              </w:rPr>
            </w:pPr>
            <w:r w:rsidRPr="00B464C6">
              <w:rPr>
                <w:sz w:val="18"/>
                <w:szCs w:val="18"/>
              </w:rPr>
              <w:t>6,08%</w:t>
            </w:r>
          </w:p>
        </w:tc>
      </w:tr>
      <w:tr w:rsidR="00B464C6" w:rsidRPr="00B464C6" w:rsidTr="000100E1">
        <w:tc>
          <w:tcPr>
            <w:tcW w:w="1470" w:type="dxa"/>
            <w:vAlign w:val="center"/>
          </w:tcPr>
          <w:p w:rsidR="00B464C6" w:rsidRPr="00B464C6" w:rsidRDefault="00B464C6" w:rsidP="00B70DBC">
            <w:pPr>
              <w:jc w:val="center"/>
              <w:rPr>
                <w:sz w:val="18"/>
                <w:szCs w:val="18"/>
              </w:rPr>
            </w:pPr>
            <w:r>
              <w:rPr>
                <w:sz w:val="18"/>
                <w:szCs w:val="18"/>
              </w:rPr>
              <w:t xml:space="preserve">7% No. Of </w:t>
            </w:r>
            <w:r>
              <w:rPr>
                <w:sz w:val="18"/>
                <w:szCs w:val="18"/>
                <w:lang w:val="en-US"/>
              </w:rPr>
              <w:t>Regencies</w:t>
            </w:r>
            <w:r w:rsidRPr="00B464C6">
              <w:rPr>
                <w:sz w:val="18"/>
                <w:szCs w:val="18"/>
              </w:rPr>
              <w:t>/</w:t>
            </w:r>
            <w:r>
              <w:rPr>
                <w:sz w:val="18"/>
                <w:szCs w:val="18"/>
                <w:lang w:val="en-US"/>
              </w:rPr>
              <w:t>Cities</w:t>
            </w:r>
          </w:p>
        </w:tc>
        <w:tc>
          <w:tcPr>
            <w:tcW w:w="1470" w:type="dxa"/>
            <w:vAlign w:val="center"/>
          </w:tcPr>
          <w:p w:rsidR="00B464C6" w:rsidRPr="00B464C6" w:rsidRDefault="00B464C6" w:rsidP="00B70DBC">
            <w:pPr>
              <w:jc w:val="center"/>
              <w:rPr>
                <w:sz w:val="18"/>
                <w:szCs w:val="18"/>
              </w:rPr>
            </w:pPr>
            <w:r w:rsidRPr="00B464C6">
              <w:rPr>
                <w:sz w:val="18"/>
                <w:szCs w:val="18"/>
              </w:rPr>
              <w:t>36</w:t>
            </w:r>
          </w:p>
        </w:tc>
        <w:tc>
          <w:tcPr>
            <w:tcW w:w="866" w:type="dxa"/>
            <w:vAlign w:val="center"/>
          </w:tcPr>
          <w:p w:rsidR="00B464C6" w:rsidRPr="00B464C6" w:rsidRDefault="00B464C6" w:rsidP="00B70DBC">
            <w:pPr>
              <w:jc w:val="center"/>
              <w:rPr>
                <w:sz w:val="18"/>
                <w:szCs w:val="18"/>
              </w:rPr>
            </w:pPr>
            <w:r w:rsidRPr="00B464C6">
              <w:rPr>
                <w:sz w:val="18"/>
                <w:szCs w:val="18"/>
              </w:rPr>
              <w:t>10,48%</w:t>
            </w:r>
          </w:p>
        </w:tc>
        <w:tc>
          <w:tcPr>
            <w:tcW w:w="771" w:type="dxa"/>
            <w:vAlign w:val="center"/>
          </w:tcPr>
          <w:p w:rsidR="00B464C6" w:rsidRPr="00B464C6" w:rsidRDefault="00B464C6" w:rsidP="00B70DBC">
            <w:pPr>
              <w:jc w:val="center"/>
              <w:rPr>
                <w:sz w:val="18"/>
                <w:szCs w:val="18"/>
              </w:rPr>
            </w:pPr>
            <w:r w:rsidRPr="00B464C6">
              <w:rPr>
                <w:sz w:val="18"/>
                <w:szCs w:val="18"/>
              </w:rPr>
              <w:t>8,42%</w:t>
            </w:r>
          </w:p>
        </w:tc>
      </w:tr>
      <w:tr w:rsidR="00B464C6" w:rsidRPr="00B464C6" w:rsidTr="000100E1">
        <w:tc>
          <w:tcPr>
            <w:tcW w:w="1470" w:type="dxa"/>
            <w:vAlign w:val="center"/>
          </w:tcPr>
          <w:p w:rsidR="00B464C6" w:rsidRPr="00B464C6" w:rsidRDefault="00B464C6" w:rsidP="00B70DBC">
            <w:pPr>
              <w:jc w:val="center"/>
              <w:rPr>
                <w:sz w:val="18"/>
                <w:szCs w:val="18"/>
              </w:rPr>
            </w:pPr>
            <w:r>
              <w:rPr>
                <w:sz w:val="18"/>
                <w:szCs w:val="18"/>
              </w:rPr>
              <w:t xml:space="preserve">10% </w:t>
            </w:r>
            <w:r>
              <w:rPr>
                <w:sz w:val="18"/>
                <w:szCs w:val="18"/>
                <w:lang w:val="en-US"/>
              </w:rPr>
              <w:t>No. of Regencies</w:t>
            </w:r>
            <w:r w:rsidRPr="00B464C6">
              <w:rPr>
                <w:sz w:val="18"/>
                <w:szCs w:val="18"/>
              </w:rPr>
              <w:t>/</w:t>
            </w:r>
            <w:r>
              <w:rPr>
                <w:sz w:val="18"/>
                <w:szCs w:val="18"/>
                <w:lang w:val="en-US"/>
              </w:rPr>
              <w:t>Cities</w:t>
            </w:r>
          </w:p>
        </w:tc>
        <w:tc>
          <w:tcPr>
            <w:tcW w:w="1470" w:type="dxa"/>
            <w:vAlign w:val="center"/>
          </w:tcPr>
          <w:p w:rsidR="00B464C6" w:rsidRPr="00B464C6" w:rsidRDefault="00B464C6" w:rsidP="00B70DBC">
            <w:pPr>
              <w:jc w:val="center"/>
              <w:rPr>
                <w:sz w:val="18"/>
                <w:szCs w:val="18"/>
              </w:rPr>
            </w:pPr>
            <w:r w:rsidRPr="00B464C6">
              <w:rPr>
                <w:sz w:val="18"/>
                <w:szCs w:val="18"/>
              </w:rPr>
              <w:t>51</w:t>
            </w:r>
          </w:p>
        </w:tc>
        <w:tc>
          <w:tcPr>
            <w:tcW w:w="866" w:type="dxa"/>
            <w:vAlign w:val="center"/>
          </w:tcPr>
          <w:p w:rsidR="00B464C6" w:rsidRPr="00B464C6" w:rsidRDefault="00B464C6" w:rsidP="00B70DBC">
            <w:pPr>
              <w:jc w:val="center"/>
              <w:rPr>
                <w:sz w:val="18"/>
                <w:szCs w:val="18"/>
              </w:rPr>
            </w:pPr>
            <w:r w:rsidRPr="00B464C6">
              <w:rPr>
                <w:sz w:val="18"/>
                <w:szCs w:val="18"/>
              </w:rPr>
              <w:t>14,84%</w:t>
            </w:r>
          </w:p>
        </w:tc>
        <w:tc>
          <w:tcPr>
            <w:tcW w:w="771" w:type="dxa"/>
            <w:vAlign w:val="center"/>
          </w:tcPr>
          <w:p w:rsidR="00B464C6" w:rsidRPr="00B464C6" w:rsidRDefault="00B464C6" w:rsidP="00B70DBC">
            <w:pPr>
              <w:jc w:val="center"/>
              <w:rPr>
                <w:sz w:val="18"/>
                <w:szCs w:val="18"/>
              </w:rPr>
            </w:pPr>
            <w:r w:rsidRPr="00B464C6">
              <w:rPr>
                <w:sz w:val="18"/>
                <w:szCs w:val="18"/>
              </w:rPr>
              <w:t>11,93%</w:t>
            </w:r>
          </w:p>
        </w:tc>
      </w:tr>
    </w:tbl>
    <w:p w:rsidR="00252496" w:rsidRDefault="00252496" w:rsidP="00B464C6">
      <w:pPr>
        <w:pStyle w:val="ListParagraph"/>
        <w:widowControl/>
        <w:ind w:left="360"/>
        <w:jc w:val="both"/>
        <w:rPr>
          <w:rFonts w:eastAsia="Times New Roman"/>
          <w:noProof w:val="0"/>
          <w:snapToGrid/>
          <w:sz w:val="18"/>
          <w:szCs w:val="18"/>
          <w:lang w:val="en"/>
        </w:rPr>
      </w:pPr>
    </w:p>
    <w:p w:rsidR="006A7B27" w:rsidRPr="000100E1" w:rsidRDefault="006A7B27" w:rsidP="000100E1">
      <w:pPr>
        <w:pStyle w:val="ListParagraph"/>
        <w:widowControl/>
        <w:numPr>
          <w:ilvl w:val="0"/>
          <w:numId w:val="43"/>
        </w:numPr>
        <w:ind w:left="270" w:hanging="270"/>
        <w:jc w:val="both"/>
        <w:rPr>
          <w:rFonts w:eastAsia="Times New Roman"/>
          <w:noProof w:val="0"/>
          <w:snapToGrid/>
          <w:sz w:val="18"/>
          <w:szCs w:val="18"/>
          <w:lang w:val="en"/>
        </w:rPr>
      </w:pPr>
      <w:r w:rsidRPr="000100E1">
        <w:rPr>
          <w:rFonts w:eastAsia="Times New Roman"/>
          <w:noProof w:val="0"/>
          <w:snapToGrid/>
          <w:sz w:val="18"/>
          <w:szCs w:val="18"/>
          <w:lang w:val="en"/>
        </w:rPr>
        <w:t>Different from</w:t>
      </w:r>
      <w:r w:rsidR="007658AB" w:rsidRPr="000100E1">
        <w:rPr>
          <w:rFonts w:eastAsia="Times New Roman"/>
          <w:noProof w:val="0"/>
          <w:snapToGrid/>
          <w:sz w:val="18"/>
          <w:szCs w:val="18"/>
          <w:lang w:val="en"/>
        </w:rPr>
        <w:t xml:space="preserve"> Sumedang,</w:t>
      </w:r>
      <w:r w:rsidRPr="000100E1">
        <w:rPr>
          <w:rFonts w:eastAsia="Times New Roman"/>
          <w:noProof w:val="0"/>
          <w:snapToGrid/>
          <w:sz w:val="18"/>
          <w:szCs w:val="18"/>
          <w:lang w:val="en"/>
        </w:rPr>
        <w:t xml:space="preserve"> the results of logistic regression analysis in Indonesia, there is an increase very significantly in the use of solid fuels and decrease in LPG in 2025 as shown in Figure 3.2. However, the increase in the use of biogas is not that significant in 2025.</w:t>
      </w:r>
    </w:p>
    <w:p w:rsidR="006A7B27" w:rsidRPr="00B464C6" w:rsidRDefault="007658AB" w:rsidP="006A7B27">
      <w:pPr>
        <w:pStyle w:val="ListParagraph"/>
        <w:widowControl/>
        <w:ind w:left="360"/>
        <w:jc w:val="both"/>
        <w:rPr>
          <w:rFonts w:eastAsia="Times New Roman"/>
          <w:noProof w:val="0"/>
          <w:snapToGrid/>
          <w:sz w:val="18"/>
          <w:szCs w:val="18"/>
          <w:lang w:val="en"/>
        </w:rPr>
      </w:pPr>
      <w:r w:rsidRPr="00C036EA">
        <w:rPr>
          <w:lang w:val="en-US"/>
        </w:rPr>
        <w:drawing>
          <wp:anchor distT="0" distB="0" distL="114300" distR="114300" simplePos="0" relativeHeight="251659264" behindDoc="0" locked="0" layoutInCell="1" allowOverlap="1">
            <wp:simplePos x="0" y="0"/>
            <wp:positionH relativeFrom="column">
              <wp:align>right</wp:align>
            </wp:positionH>
            <wp:positionV relativeFrom="paragraph">
              <wp:posOffset>77071</wp:posOffset>
            </wp:positionV>
            <wp:extent cx="2796362" cy="1747062"/>
            <wp:effectExtent l="0" t="0" r="4445" b="5715"/>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00252496" w:rsidRDefault="00252496" w:rsidP="00252496">
      <w:pPr>
        <w:pStyle w:val="ListParagraph"/>
        <w:ind w:left="360"/>
        <w:jc w:val="both"/>
        <w:rPr>
          <w:b/>
          <w:sz w:val="18"/>
          <w:szCs w:val="18"/>
        </w:rPr>
      </w:pPr>
    </w:p>
    <w:p w:rsidR="007658AB" w:rsidRDefault="007658AB" w:rsidP="00252496">
      <w:pPr>
        <w:pStyle w:val="ListParagraph"/>
        <w:ind w:left="360"/>
        <w:jc w:val="both"/>
        <w:rPr>
          <w:b/>
          <w:sz w:val="18"/>
          <w:szCs w:val="18"/>
        </w:rPr>
      </w:pPr>
    </w:p>
    <w:p w:rsidR="007658AB" w:rsidRDefault="007658AB" w:rsidP="00252496">
      <w:pPr>
        <w:pStyle w:val="ListParagraph"/>
        <w:ind w:left="360"/>
        <w:jc w:val="both"/>
        <w:rPr>
          <w:b/>
          <w:sz w:val="18"/>
          <w:szCs w:val="18"/>
        </w:rPr>
      </w:pPr>
    </w:p>
    <w:p w:rsidR="007658AB" w:rsidRDefault="007658AB" w:rsidP="00252496">
      <w:pPr>
        <w:pStyle w:val="ListParagraph"/>
        <w:ind w:left="360"/>
        <w:jc w:val="both"/>
        <w:rPr>
          <w:b/>
          <w:sz w:val="18"/>
          <w:szCs w:val="18"/>
        </w:rPr>
      </w:pPr>
    </w:p>
    <w:p w:rsidR="007658AB" w:rsidRDefault="007658AB" w:rsidP="00252496">
      <w:pPr>
        <w:pStyle w:val="ListParagraph"/>
        <w:ind w:left="360"/>
        <w:jc w:val="both"/>
        <w:rPr>
          <w:b/>
          <w:sz w:val="18"/>
          <w:szCs w:val="18"/>
        </w:rPr>
      </w:pPr>
    </w:p>
    <w:p w:rsidR="007658AB" w:rsidRDefault="007658AB" w:rsidP="00252496">
      <w:pPr>
        <w:pStyle w:val="ListParagraph"/>
        <w:ind w:left="360"/>
        <w:jc w:val="both"/>
        <w:rPr>
          <w:b/>
          <w:sz w:val="18"/>
          <w:szCs w:val="18"/>
        </w:rPr>
      </w:pPr>
    </w:p>
    <w:p w:rsidR="007658AB" w:rsidRDefault="007658AB" w:rsidP="00252496">
      <w:pPr>
        <w:pStyle w:val="ListParagraph"/>
        <w:ind w:left="360"/>
        <w:jc w:val="both"/>
        <w:rPr>
          <w:b/>
          <w:sz w:val="18"/>
          <w:szCs w:val="18"/>
        </w:rPr>
      </w:pPr>
    </w:p>
    <w:p w:rsidR="007658AB" w:rsidRDefault="007658AB" w:rsidP="00252496">
      <w:pPr>
        <w:pStyle w:val="ListParagraph"/>
        <w:ind w:left="360"/>
        <w:jc w:val="both"/>
        <w:rPr>
          <w:b/>
          <w:sz w:val="18"/>
          <w:szCs w:val="18"/>
        </w:rPr>
      </w:pPr>
    </w:p>
    <w:p w:rsidR="007658AB" w:rsidRDefault="007658AB" w:rsidP="00252496">
      <w:pPr>
        <w:pStyle w:val="ListParagraph"/>
        <w:ind w:left="360"/>
        <w:jc w:val="both"/>
        <w:rPr>
          <w:b/>
          <w:sz w:val="18"/>
          <w:szCs w:val="18"/>
        </w:rPr>
      </w:pPr>
    </w:p>
    <w:p w:rsidR="007658AB" w:rsidRDefault="007658AB" w:rsidP="00252496">
      <w:pPr>
        <w:pStyle w:val="ListParagraph"/>
        <w:ind w:left="360"/>
        <w:jc w:val="both"/>
        <w:rPr>
          <w:b/>
          <w:sz w:val="18"/>
          <w:szCs w:val="18"/>
        </w:rPr>
      </w:pPr>
    </w:p>
    <w:p w:rsidR="007658AB" w:rsidRDefault="007658AB" w:rsidP="00252496">
      <w:pPr>
        <w:pStyle w:val="ListParagraph"/>
        <w:ind w:left="360"/>
        <w:jc w:val="both"/>
        <w:rPr>
          <w:b/>
          <w:sz w:val="18"/>
          <w:szCs w:val="18"/>
        </w:rPr>
      </w:pPr>
    </w:p>
    <w:p w:rsidR="007658AB" w:rsidRDefault="007658AB" w:rsidP="00252496">
      <w:pPr>
        <w:pStyle w:val="ListParagraph"/>
        <w:ind w:left="360"/>
        <w:jc w:val="both"/>
        <w:rPr>
          <w:b/>
          <w:sz w:val="18"/>
          <w:szCs w:val="18"/>
        </w:rPr>
      </w:pPr>
    </w:p>
    <w:p w:rsidR="007658AB" w:rsidRPr="00252496" w:rsidRDefault="007658AB" w:rsidP="00252496">
      <w:pPr>
        <w:pStyle w:val="ListParagraph"/>
        <w:ind w:left="360"/>
        <w:jc w:val="both"/>
        <w:rPr>
          <w:b/>
          <w:sz w:val="18"/>
          <w:szCs w:val="18"/>
        </w:rPr>
      </w:pPr>
    </w:p>
    <w:p w:rsidR="007658AB" w:rsidRDefault="007658AB" w:rsidP="007658AB">
      <w:pPr>
        <w:jc w:val="center"/>
        <w:rPr>
          <w:sz w:val="18"/>
          <w:szCs w:val="18"/>
          <w:lang w:val="en-US"/>
        </w:rPr>
      </w:pPr>
      <w:r>
        <w:rPr>
          <w:sz w:val="18"/>
          <w:szCs w:val="18"/>
          <w:lang w:val="en-US"/>
        </w:rPr>
        <w:t>Picture 3.2 Results of Logistic R</w:t>
      </w:r>
      <w:r w:rsidRPr="008154AD">
        <w:rPr>
          <w:sz w:val="18"/>
          <w:szCs w:val="18"/>
          <w:lang w:val="en-US"/>
        </w:rPr>
        <w:t xml:space="preserve">egression </w:t>
      </w:r>
      <w:r>
        <w:rPr>
          <w:sz w:val="18"/>
          <w:szCs w:val="18"/>
          <w:lang w:val="en-US"/>
        </w:rPr>
        <w:t>A</w:t>
      </w:r>
      <w:r w:rsidRPr="008154AD">
        <w:rPr>
          <w:sz w:val="18"/>
          <w:szCs w:val="18"/>
          <w:lang w:val="en-US"/>
        </w:rPr>
        <w:t>nalysis</w:t>
      </w:r>
      <w:r>
        <w:rPr>
          <w:sz w:val="18"/>
          <w:szCs w:val="18"/>
          <w:lang w:val="en-US"/>
        </w:rPr>
        <w:t xml:space="preserve"> </w:t>
      </w:r>
    </w:p>
    <w:p w:rsidR="007658AB" w:rsidRDefault="007658AB" w:rsidP="007658AB">
      <w:pPr>
        <w:jc w:val="center"/>
        <w:rPr>
          <w:sz w:val="18"/>
          <w:szCs w:val="18"/>
          <w:lang w:val="en-US"/>
        </w:rPr>
      </w:pPr>
    </w:p>
    <w:p w:rsidR="007658AB" w:rsidRDefault="007658AB" w:rsidP="000100E1">
      <w:pPr>
        <w:pStyle w:val="ListParagraph"/>
        <w:widowControl/>
        <w:numPr>
          <w:ilvl w:val="0"/>
          <w:numId w:val="43"/>
        </w:numPr>
        <w:ind w:left="270" w:hanging="270"/>
        <w:jc w:val="both"/>
        <w:rPr>
          <w:rFonts w:eastAsia="Times New Roman"/>
          <w:noProof w:val="0"/>
          <w:snapToGrid/>
          <w:sz w:val="18"/>
          <w:szCs w:val="18"/>
          <w:lang w:val="en"/>
        </w:rPr>
      </w:pPr>
      <w:r w:rsidRPr="00252496">
        <w:rPr>
          <w:rFonts w:eastAsia="Times New Roman"/>
          <w:noProof w:val="0"/>
          <w:snapToGrid/>
          <w:sz w:val="18"/>
          <w:szCs w:val="18"/>
          <w:lang w:val="en"/>
        </w:rPr>
        <w:t xml:space="preserve">The potential </w:t>
      </w:r>
      <w:r>
        <w:rPr>
          <w:rFonts w:eastAsia="Times New Roman"/>
          <w:noProof w:val="0"/>
          <w:snapToGrid/>
          <w:sz w:val="18"/>
          <w:szCs w:val="18"/>
          <w:lang w:val="en"/>
        </w:rPr>
        <w:t xml:space="preserve">population </w:t>
      </w:r>
      <w:r w:rsidRPr="00252496">
        <w:rPr>
          <w:rFonts w:eastAsia="Times New Roman"/>
          <w:noProof w:val="0"/>
          <w:snapToGrid/>
          <w:sz w:val="18"/>
          <w:szCs w:val="18"/>
          <w:lang w:val="en"/>
        </w:rPr>
        <w:t xml:space="preserve">contribution </w:t>
      </w:r>
      <w:r>
        <w:rPr>
          <w:rFonts w:eastAsia="Times New Roman"/>
          <w:noProof w:val="0"/>
          <w:snapToGrid/>
          <w:sz w:val="18"/>
          <w:szCs w:val="18"/>
          <w:lang w:val="en"/>
        </w:rPr>
        <w:t>to</w:t>
      </w:r>
      <w:r w:rsidRPr="00252496">
        <w:rPr>
          <w:rFonts w:eastAsia="Times New Roman"/>
          <w:noProof w:val="0"/>
          <w:snapToGrid/>
          <w:sz w:val="18"/>
          <w:szCs w:val="18"/>
          <w:lang w:val="en"/>
        </w:rPr>
        <w:t xml:space="preserve"> the </w:t>
      </w:r>
      <w:r>
        <w:rPr>
          <w:rFonts w:eastAsia="Times New Roman"/>
          <w:noProof w:val="0"/>
          <w:snapToGrid/>
          <w:sz w:val="18"/>
          <w:szCs w:val="18"/>
          <w:lang w:val="en"/>
        </w:rPr>
        <w:t>achievement of the primary renewable energy mix in Indonesia</w:t>
      </w:r>
      <w:r w:rsidRPr="00252496">
        <w:rPr>
          <w:rFonts w:eastAsia="Times New Roman"/>
          <w:noProof w:val="0"/>
          <w:snapToGrid/>
          <w:sz w:val="18"/>
          <w:szCs w:val="18"/>
          <w:lang w:val="en"/>
        </w:rPr>
        <w:t xml:space="preserve"> can</w:t>
      </w:r>
      <w:r>
        <w:rPr>
          <w:rFonts w:eastAsia="Times New Roman"/>
          <w:noProof w:val="0"/>
          <w:snapToGrid/>
          <w:sz w:val="18"/>
          <w:szCs w:val="18"/>
          <w:lang w:val="en"/>
        </w:rPr>
        <w:t xml:space="preserve"> be seen in T</w:t>
      </w:r>
      <w:r w:rsidR="002C1577">
        <w:rPr>
          <w:rFonts w:eastAsia="Times New Roman"/>
          <w:noProof w:val="0"/>
          <w:snapToGrid/>
          <w:sz w:val="18"/>
          <w:szCs w:val="18"/>
          <w:lang w:val="en"/>
        </w:rPr>
        <w:t>able 3.3</w:t>
      </w:r>
      <w:r w:rsidRPr="00252496">
        <w:rPr>
          <w:rFonts w:eastAsia="Times New Roman"/>
          <w:noProof w:val="0"/>
          <w:snapToGrid/>
          <w:sz w:val="18"/>
          <w:szCs w:val="18"/>
          <w:lang w:val="en"/>
        </w:rPr>
        <w:t>.</w:t>
      </w:r>
    </w:p>
    <w:p w:rsidR="002C1577" w:rsidRDefault="002C1577" w:rsidP="002C1577">
      <w:pPr>
        <w:pStyle w:val="ListParagraph"/>
        <w:widowControl/>
        <w:ind w:left="360"/>
        <w:rPr>
          <w:rFonts w:eastAsia="Times New Roman"/>
          <w:noProof w:val="0"/>
          <w:snapToGrid/>
          <w:sz w:val="18"/>
          <w:szCs w:val="18"/>
          <w:lang w:val="en"/>
        </w:rPr>
      </w:pPr>
    </w:p>
    <w:p w:rsidR="002C1577" w:rsidRPr="002C1577" w:rsidRDefault="002C1577" w:rsidP="002C1577">
      <w:pPr>
        <w:jc w:val="center"/>
        <w:rPr>
          <w:sz w:val="18"/>
          <w:szCs w:val="18"/>
        </w:rPr>
      </w:pPr>
      <w:r>
        <w:rPr>
          <w:sz w:val="18"/>
          <w:szCs w:val="18"/>
        </w:rPr>
        <w:t>Tab</w:t>
      </w:r>
      <w:r w:rsidRPr="002C1577">
        <w:rPr>
          <w:sz w:val="18"/>
          <w:szCs w:val="18"/>
        </w:rPr>
        <w:t>l</w:t>
      </w:r>
      <w:r>
        <w:rPr>
          <w:sz w:val="18"/>
          <w:szCs w:val="18"/>
          <w:lang w:val="en-US"/>
        </w:rPr>
        <w:t>e</w:t>
      </w:r>
      <w:r w:rsidRPr="002C1577">
        <w:rPr>
          <w:sz w:val="18"/>
          <w:szCs w:val="18"/>
        </w:rPr>
        <w:t xml:space="preserve"> </w:t>
      </w:r>
      <w:r>
        <w:rPr>
          <w:sz w:val="18"/>
          <w:szCs w:val="18"/>
          <w:lang w:val="en-US"/>
        </w:rPr>
        <w:t>3</w:t>
      </w:r>
      <w:r w:rsidRPr="002C1577">
        <w:rPr>
          <w:sz w:val="18"/>
          <w:szCs w:val="18"/>
        </w:rPr>
        <w:t>.</w:t>
      </w:r>
      <w:r>
        <w:rPr>
          <w:sz w:val="18"/>
          <w:szCs w:val="18"/>
          <w:lang w:val="en-US"/>
        </w:rPr>
        <w:t>3</w:t>
      </w:r>
    </w:p>
    <w:p w:rsidR="002C1577" w:rsidRPr="002C1577" w:rsidRDefault="002C1577" w:rsidP="002C1577">
      <w:pPr>
        <w:jc w:val="center"/>
        <w:rPr>
          <w:b/>
          <w:sz w:val="18"/>
          <w:szCs w:val="18"/>
        </w:rPr>
      </w:pPr>
      <w:r>
        <w:rPr>
          <w:sz w:val="18"/>
          <w:szCs w:val="18"/>
        </w:rPr>
        <w:t>Potential</w:t>
      </w:r>
      <w:r w:rsidRPr="002C1577">
        <w:rPr>
          <w:sz w:val="18"/>
          <w:szCs w:val="18"/>
        </w:rPr>
        <w:t xml:space="preserve"> </w:t>
      </w:r>
      <w:r>
        <w:rPr>
          <w:sz w:val="18"/>
          <w:szCs w:val="18"/>
          <w:lang w:val="en-US"/>
        </w:rPr>
        <w:t>Population Contribution to the Achievement of the Primary Renewable Energy Mix in</w:t>
      </w:r>
      <w:r w:rsidRPr="002C1577">
        <w:rPr>
          <w:sz w:val="18"/>
          <w:szCs w:val="18"/>
        </w:rPr>
        <w:t xml:space="preserve"> Indonesia</w:t>
      </w:r>
    </w:p>
    <w:tbl>
      <w:tblPr>
        <w:tblStyle w:val="TableGrid"/>
        <w:tblW w:w="0" w:type="auto"/>
        <w:jc w:val="center"/>
        <w:tblLook w:val="04A0" w:firstRow="1" w:lastRow="0" w:firstColumn="1" w:lastColumn="0" w:noHBand="0" w:noVBand="1"/>
      </w:tblPr>
      <w:tblGrid>
        <w:gridCol w:w="1154"/>
        <w:gridCol w:w="1587"/>
        <w:gridCol w:w="1587"/>
      </w:tblGrid>
      <w:tr w:rsidR="002C1577" w:rsidRPr="002C1577" w:rsidTr="00A36528">
        <w:trPr>
          <w:jc w:val="center"/>
        </w:trPr>
        <w:tc>
          <w:tcPr>
            <w:tcW w:w="1154" w:type="dxa"/>
            <w:vAlign w:val="center"/>
          </w:tcPr>
          <w:p w:rsidR="002C1577" w:rsidRPr="002C1577" w:rsidRDefault="002C1577" w:rsidP="00B70DBC">
            <w:pPr>
              <w:jc w:val="center"/>
              <w:rPr>
                <w:sz w:val="18"/>
                <w:szCs w:val="18"/>
              </w:rPr>
            </w:pPr>
            <w:r>
              <w:rPr>
                <w:sz w:val="18"/>
                <w:szCs w:val="18"/>
              </w:rPr>
              <w:t>Fuel</w:t>
            </w:r>
          </w:p>
        </w:tc>
        <w:tc>
          <w:tcPr>
            <w:tcW w:w="1587" w:type="dxa"/>
            <w:vAlign w:val="center"/>
          </w:tcPr>
          <w:p w:rsidR="002C1577" w:rsidRPr="002C1577" w:rsidRDefault="002C1577" w:rsidP="00B70DBC">
            <w:pPr>
              <w:jc w:val="center"/>
              <w:rPr>
                <w:sz w:val="18"/>
                <w:szCs w:val="18"/>
              </w:rPr>
            </w:pPr>
            <w:r w:rsidRPr="002C1577">
              <w:rPr>
                <w:sz w:val="18"/>
                <w:szCs w:val="18"/>
              </w:rPr>
              <w:t>2018</w:t>
            </w:r>
          </w:p>
        </w:tc>
        <w:tc>
          <w:tcPr>
            <w:tcW w:w="1587" w:type="dxa"/>
            <w:vAlign w:val="center"/>
          </w:tcPr>
          <w:p w:rsidR="002C1577" w:rsidRPr="002C1577" w:rsidRDefault="002C1577" w:rsidP="00B70DBC">
            <w:pPr>
              <w:jc w:val="center"/>
              <w:rPr>
                <w:sz w:val="18"/>
                <w:szCs w:val="18"/>
              </w:rPr>
            </w:pPr>
            <w:r w:rsidRPr="002C1577">
              <w:rPr>
                <w:sz w:val="18"/>
                <w:szCs w:val="18"/>
              </w:rPr>
              <w:t>2025</w:t>
            </w:r>
          </w:p>
        </w:tc>
      </w:tr>
      <w:tr w:rsidR="002C1577" w:rsidRPr="002C1577" w:rsidTr="00A36528">
        <w:trPr>
          <w:jc w:val="center"/>
        </w:trPr>
        <w:tc>
          <w:tcPr>
            <w:tcW w:w="1154" w:type="dxa"/>
            <w:vAlign w:val="center"/>
          </w:tcPr>
          <w:p w:rsidR="002C1577" w:rsidRPr="002C1577" w:rsidRDefault="002C1577" w:rsidP="00B70DBC">
            <w:pPr>
              <w:jc w:val="center"/>
              <w:rPr>
                <w:sz w:val="18"/>
                <w:szCs w:val="18"/>
              </w:rPr>
            </w:pPr>
            <w:r>
              <w:rPr>
                <w:sz w:val="18"/>
                <w:szCs w:val="18"/>
              </w:rPr>
              <w:t>Solid</w:t>
            </w:r>
          </w:p>
        </w:tc>
        <w:tc>
          <w:tcPr>
            <w:tcW w:w="1587" w:type="dxa"/>
            <w:vAlign w:val="center"/>
          </w:tcPr>
          <w:p w:rsidR="002C1577" w:rsidRPr="002C1577" w:rsidRDefault="002C1577" w:rsidP="00B70DBC">
            <w:pPr>
              <w:jc w:val="center"/>
              <w:rPr>
                <w:sz w:val="18"/>
                <w:szCs w:val="18"/>
              </w:rPr>
            </w:pPr>
            <w:r w:rsidRPr="002C1577">
              <w:rPr>
                <w:sz w:val="18"/>
                <w:szCs w:val="18"/>
              </w:rPr>
              <w:t>3,33%</w:t>
            </w:r>
          </w:p>
        </w:tc>
        <w:tc>
          <w:tcPr>
            <w:tcW w:w="1587" w:type="dxa"/>
            <w:vAlign w:val="center"/>
          </w:tcPr>
          <w:p w:rsidR="002C1577" w:rsidRPr="002C1577" w:rsidRDefault="002C1577" w:rsidP="00B70DBC">
            <w:pPr>
              <w:jc w:val="center"/>
              <w:rPr>
                <w:sz w:val="18"/>
                <w:szCs w:val="18"/>
              </w:rPr>
            </w:pPr>
            <w:r w:rsidRPr="002C1577">
              <w:rPr>
                <w:sz w:val="18"/>
                <w:szCs w:val="18"/>
              </w:rPr>
              <w:t>6,81%</w:t>
            </w:r>
          </w:p>
        </w:tc>
      </w:tr>
      <w:tr w:rsidR="002C1577" w:rsidRPr="002C1577" w:rsidTr="00A36528">
        <w:trPr>
          <w:jc w:val="center"/>
        </w:trPr>
        <w:tc>
          <w:tcPr>
            <w:tcW w:w="1154" w:type="dxa"/>
            <w:vAlign w:val="center"/>
          </w:tcPr>
          <w:p w:rsidR="002C1577" w:rsidRPr="002C1577" w:rsidRDefault="002C1577" w:rsidP="00B70DBC">
            <w:pPr>
              <w:jc w:val="center"/>
              <w:rPr>
                <w:sz w:val="18"/>
                <w:szCs w:val="18"/>
              </w:rPr>
            </w:pPr>
            <w:r>
              <w:rPr>
                <w:sz w:val="18"/>
                <w:szCs w:val="18"/>
                <w:lang w:val="en-US"/>
              </w:rPr>
              <w:t xml:space="preserve">Cattle Dung </w:t>
            </w:r>
            <w:r>
              <w:rPr>
                <w:sz w:val="18"/>
                <w:szCs w:val="18"/>
              </w:rPr>
              <w:t xml:space="preserve">Biogas </w:t>
            </w:r>
          </w:p>
        </w:tc>
        <w:tc>
          <w:tcPr>
            <w:tcW w:w="1587" w:type="dxa"/>
            <w:vAlign w:val="center"/>
          </w:tcPr>
          <w:p w:rsidR="002C1577" w:rsidRPr="002C1577" w:rsidRDefault="002C1577" w:rsidP="00B70DBC">
            <w:pPr>
              <w:jc w:val="center"/>
              <w:rPr>
                <w:sz w:val="18"/>
                <w:szCs w:val="18"/>
              </w:rPr>
            </w:pPr>
            <w:r w:rsidRPr="002C1577">
              <w:rPr>
                <w:sz w:val="18"/>
                <w:szCs w:val="18"/>
              </w:rPr>
              <w:t>0,47%</w:t>
            </w:r>
          </w:p>
        </w:tc>
        <w:tc>
          <w:tcPr>
            <w:tcW w:w="1587" w:type="dxa"/>
            <w:vAlign w:val="center"/>
          </w:tcPr>
          <w:p w:rsidR="002C1577" w:rsidRPr="002C1577" w:rsidRDefault="002C1577" w:rsidP="00B70DBC">
            <w:pPr>
              <w:jc w:val="center"/>
              <w:rPr>
                <w:sz w:val="18"/>
                <w:szCs w:val="18"/>
              </w:rPr>
            </w:pPr>
            <w:r w:rsidRPr="002C1577">
              <w:rPr>
                <w:sz w:val="18"/>
                <w:szCs w:val="18"/>
              </w:rPr>
              <w:t>1,35%</w:t>
            </w:r>
          </w:p>
        </w:tc>
      </w:tr>
      <w:tr w:rsidR="002C1577" w:rsidRPr="002C1577" w:rsidTr="00A36528">
        <w:trPr>
          <w:jc w:val="center"/>
        </w:trPr>
        <w:tc>
          <w:tcPr>
            <w:tcW w:w="1154" w:type="dxa"/>
            <w:vAlign w:val="center"/>
          </w:tcPr>
          <w:p w:rsidR="002C1577" w:rsidRPr="002C1577" w:rsidRDefault="002C1577" w:rsidP="00B70DBC">
            <w:pPr>
              <w:jc w:val="center"/>
              <w:rPr>
                <w:sz w:val="18"/>
                <w:szCs w:val="18"/>
              </w:rPr>
            </w:pPr>
            <w:r w:rsidRPr="002C1577">
              <w:rPr>
                <w:sz w:val="18"/>
                <w:szCs w:val="18"/>
              </w:rPr>
              <w:t xml:space="preserve">Total </w:t>
            </w:r>
          </w:p>
        </w:tc>
        <w:tc>
          <w:tcPr>
            <w:tcW w:w="1587" w:type="dxa"/>
            <w:vAlign w:val="center"/>
          </w:tcPr>
          <w:p w:rsidR="002C1577" w:rsidRPr="002C1577" w:rsidRDefault="002C1577" w:rsidP="00B70DBC">
            <w:pPr>
              <w:jc w:val="center"/>
              <w:rPr>
                <w:sz w:val="18"/>
                <w:szCs w:val="18"/>
              </w:rPr>
            </w:pPr>
            <w:r w:rsidRPr="002C1577">
              <w:rPr>
                <w:sz w:val="18"/>
                <w:szCs w:val="18"/>
              </w:rPr>
              <w:t>3,80%</w:t>
            </w:r>
          </w:p>
        </w:tc>
        <w:tc>
          <w:tcPr>
            <w:tcW w:w="1587" w:type="dxa"/>
            <w:vAlign w:val="center"/>
          </w:tcPr>
          <w:p w:rsidR="002C1577" w:rsidRPr="002C1577" w:rsidRDefault="002C1577" w:rsidP="00B70DBC">
            <w:pPr>
              <w:jc w:val="center"/>
              <w:rPr>
                <w:sz w:val="18"/>
                <w:szCs w:val="18"/>
              </w:rPr>
            </w:pPr>
            <w:r w:rsidRPr="002C1577">
              <w:rPr>
                <w:sz w:val="18"/>
                <w:szCs w:val="18"/>
              </w:rPr>
              <w:t>8,16%</w:t>
            </w:r>
          </w:p>
        </w:tc>
      </w:tr>
    </w:tbl>
    <w:p w:rsidR="008154AD" w:rsidRPr="007658AB" w:rsidRDefault="008154AD" w:rsidP="00887257">
      <w:pPr>
        <w:rPr>
          <w:b/>
          <w:sz w:val="18"/>
          <w:szCs w:val="18"/>
          <w:lang w:val="en-US"/>
        </w:rPr>
      </w:pPr>
    </w:p>
    <w:p w:rsidR="005F35D0" w:rsidRPr="00E7327C" w:rsidRDefault="005F35D0" w:rsidP="005F35D0">
      <w:pPr>
        <w:jc w:val="both"/>
        <w:rPr>
          <w:bCs/>
          <w:sz w:val="18"/>
          <w:szCs w:val="18"/>
        </w:rPr>
      </w:pPr>
    </w:p>
    <w:p w:rsidR="00AA17F7" w:rsidRDefault="00B40A30" w:rsidP="0044369A">
      <w:pPr>
        <w:rPr>
          <w:b/>
          <w:color w:val="000000" w:themeColor="text1"/>
          <w:sz w:val="18"/>
          <w:szCs w:val="18"/>
        </w:rPr>
      </w:pPr>
      <w:r>
        <w:rPr>
          <w:b/>
          <w:color w:val="000000" w:themeColor="text1"/>
          <w:sz w:val="18"/>
          <w:szCs w:val="18"/>
        </w:rPr>
        <w:t>4</w:t>
      </w:r>
      <w:r w:rsidR="00BB1044" w:rsidRPr="00E7327C">
        <w:rPr>
          <w:b/>
          <w:color w:val="000000" w:themeColor="text1"/>
          <w:sz w:val="18"/>
          <w:szCs w:val="18"/>
        </w:rPr>
        <w:t xml:space="preserve">.0 </w:t>
      </w:r>
      <w:r w:rsidR="00394D95" w:rsidRPr="00E7327C">
        <w:rPr>
          <w:b/>
          <w:color w:val="000000" w:themeColor="text1"/>
          <w:sz w:val="18"/>
          <w:szCs w:val="18"/>
        </w:rPr>
        <w:t>CONCLUSION</w:t>
      </w:r>
      <w:r w:rsidR="00232432" w:rsidRPr="00E7327C">
        <w:rPr>
          <w:b/>
          <w:color w:val="000000" w:themeColor="text1"/>
          <w:sz w:val="18"/>
          <w:szCs w:val="18"/>
        </w:rPr>
        <w:t>S AND RECOMMENDATION</w:t>
      </w:r>
    </w:p>
    <w:p w:rsidR="000100E1" w:rsidRPr="00E7327C" w:rsidRDefault="000100E1" w:rsidP="0044369A">
      <w:pPr>
        <w:rPr>
          <w:b/>
          <w:sz w:val="18"/>
          <w:szCs w:val="18"/>
        </w:rPr>
      </w:pPr>
    </w:p>
    <w:p w:rsidR="00232432" w:rsidRPr="00E7327C" w:rsidRDefault="00B40A30" w:rsidP="00232432">
      <w:pPr>
        <w:rPr>
          <w:rStyle w:val="tlid-translation"/>
          <w:sz w:val="18"/>
          <w:szCs w:val="18"/>
          <w:lang w:val="en"/>
        </w:rPr>
      </w:pPr>
      <w:r>
        <w:rPr>
          <w:rStyle w:val="tlid-translation"/>
          <w:b/>
          <w:sz w:val="18"/>
          <w:szCs w:val="18"/>
          <w:lang w:val="en"/>
        </w:rPr>
        <w:t>4</w:t>
      </w:r>
      <w:r w:rsidR="00232432" w:rsidRPr="00E7327C">
        <w:rPr>
          <w:rStyle w:val="tlid-translation"/>
          <w:b/>
          <w:sz w:val="18"/>
          <w:szCs w:val="18"/>
          <w:lang w:val="en"/>
        </w:rPr>
        <w:t>.</w:t>
      </w:r>
      <w:r>
        <w:rPr>
          <w:rStyle w:val="tlid-translation"/>
          <w:b/>
          <w:sz w:val="18"/>
          <w:szCs w:val="18"/>
          <w:lang w:val="en"/>
        </w:rPr>
        <w:t>1</w:t>
      </w:r>
      <w:r w:rsidR="00232432" w:rsidRPr="00E7327C">
        <w:rPr>
          <w:rStyle w:val="tlid-translation"/>
          <w:b/>
          <w:sz w:val="18"/>
          <w:szCs w:val="18"/>
          <w:lang w:val="en"/>
        </w:rPr>
        <w:t xml:space="preserve"> Conclusions</w:t>
      </w:r>
      <w:r w:rsidR="00232432" w:rsidRPr="00E7327C">
        <w:rPr>
          <w:rStyle w:val="tlid-translation"/>
          <w:sz w:val="18"/>
          <w:szCs w:val="18"/>
          <w:lang w:val="en"/>
        </w:rPr>
        <w:t xml:space="preserve"> </w:t>
      </w:r>
    </w:p>
    <w:p w:rsidR="00FE5FA2" w:rsidRDefault="00232432" w:rsidP="002F4FC3">
      <w:pPr>
        <w:tabs>
          <w:tab w:val="left" w:pos="360"/>
        </w:tabs>
        <w:jc w:val="both"/>
        <w:rPr>
          <w:rStyle w:val="tlid-translation"/>
          <w:sz w:val="18"/>
          <w:szCs w:val="18"/>
          <w:lang w:val="en"/>
        </w:rPr>
      </w:pPr>
      <w:r w:rsidRPr="00E7327C">
        <w:rPr>
          <w:rStyle w:val="tlid-translation"/>
          <w:sz w:val="18"/>
          <w:szCs w:val="18"/>
          <w:lang w:val="en"/>
        </w:rPr>
        <w:t xml:space="preserve">Based on the results of research and discussion in </w:t>
      </w:r>
      <w:r w:rsidR="000217BF">
        <w:rPr>
          <w:rStyle w:val="tlid-translation"/>
          <w:sz w:val="18"/>
          <w:szCs w:val="18"/>
          <w:lang w:val="en"/>
        </w:rPr>
        <w:t>Section 3.0</w:t>
      </w:r>
      <w:r w:rsidRPr="00E7327C">
        <w:rPr>
          <w:rStyle w:val="tlid-translation"/>
          <w:sz w:val="18"/>
          <w:szCs w:val="18"/>
          <w:lang w:val="en"/>
        </w:rPr>
        <w:t>, the following conclusions can be drawn:</w:t>
      </w:r>
    </w:p>
    <w:p w:rsidR="00FE5FA2" w:rsidRDefault="00232432" w:rsidP="00FE5FA2">
      <w:pPr>
        <w:tabs>
          <w:tab w:val="left" w:pos="284"/>
        </w:tabs>
        <w:ind w:left="284" w:hanging="284"/>
        <w:jc w:val="both"/>
        <w:rPr>
          <w:rStyle w:val="tlid-translation"/>
          <w:sz w:val="18"/>
          <w:szCs w:val="18"/>
          <w:lang w:val="en"/>
        </w:rPr>
      </w:pPr>
      <w:r w:rsidRPr="00E7327C">
        <w:rPr>
          <w:rStyle w:val="tlid-translation"/>
          <w:sz w:val="18"/>
          <w:szCs w:val="18"/>
          <w:lang w:val="en"/>
        </w:rPr>
        <w:t xml:space="preserve">1. </w:t>
      </w:r>
      <w:r w:rsidR="00FE5FA2">
        <w:rPr>
          <w:rStyle w:val="tlid-translation"/>
          <w:sz w:val="18"/>
          <w:szCs w:val="18"/>
          <w:lang w:val="en"/>
        </w:rPr>
        <w:tab/>
      </w:r>
      <w:r w:rsidRPr="00E7327C">
        <w:rPr>
          <w:rStyle w:val="tlid-translation"/>
          <w:sz w:val="18"/>
          <w:szCs w:val="18"/>
          <w:lang w:val="en"/>
        </w:rPr>
        <w:t xml:space="preserve">7.9 (seven point nine) percent of respondents in Sumedang only use firewood on a daily basis for household needs. 25.7 (twenty five point seven) percent who use firewood and 3 kg LPG. 2 (two) percent use firewood, tofu biogas waste and 3 kg LPG. 4 (four) percent who use rice husk (bran), biogas waste tofu and 3 kg LPG. 2 (two) percent use rice husk (bran), </w:t>
      </w:r>
      <w:r w:rsidRPr="00E7327C">
        <w:rPr>
          <w:rStyle w:val="tlid-translation"/>
          <w:sz w:val="18"/>
          <w:szCs w:val="18"/>
          <w:lang w:val="en"/>
        </w:rPr>
        <w:t xml:space="preserve">biogas from tofu waste and 12 kg LPG. 14.9 (fourteen point nine) percent use tofu waste biogas and 3 kg LPG. 22.8 (twenty two point eight) percent use 3 kg LPG. 5 (five) percent use 12 kg LPG. Total </w:t>
      </w:r>
      <w:r w:rsidR="00B40A30">
        <w:rPr>
          <w:rStyle w:val="tlid-translation"/>
          <w:sz w:val="18"/>
          <w:szCs w:val="18"/>
          <w:lang w:val="en"/>
        </w:rPr>
        <w:t>R</w:t>
      </w:r>
      <w:r w:rsidRPr="00E7327C">
        <w:rPr>
          <w:rStyle w:val="tlid-translation"/>
          <w:sz w:val="18"/>
          <w:szCs w:val="18"/>
          <w:lang w:val="en"/>
        </w:rPr>
        <w:t>E use is more than 56.5 (fifty six point five) percent.</w:t>
      </w:r>
    </w:p>
    <w:p w:rsidR="00FE5FA2" w:rsidRDefault="008A4912" w:rsidP="00FE5FA2">
      <w:pPr>
        <w:tabs>
          <w:tab w:val="left" w:pos="284"/>
        </w:tabs>
        <w:ind w:left="284" w:hanging="284"/>
        <w:jc w:val="both"/>
        <w:rPr>
          <w:rStyle w:val="tlid-translation"/>
          <w:sz w:val="18"/>
          <w:szCs w:val="18"/>
          <w:lang w:val="en"/>
        </w:rPr>
      </w:pPr>
      <w:r>
        <w:rPr>
          <w:rStyle w:val="tlid-translation"/>
          <w:sz w:val="18"/>
          <w:szCs w:val="18"/>
          <w:lang w:val="en"/>
        </w:rPr>
        <w:tab/>
      </w:r>
      <w:r w:rsidR="00232432" w:rsidRPr="00E7327C">
        <w:rPr>
          <w:rStyle w:val="tlid-translation"/>
          <w:sz w:val="18"/>
          <w:szCs w:val="18"/>
          <w:lang w:val="en"/>
        </w:rPr>
        <w:t>50 (fifty) percent of respondents said they used firewood because it was easy to get, free / available around the house / garden / forest. 84.6 (eighty four point six) percent of respondents have used firewood for more than 16 (sixteen) years.</w:t>
      </w:r>
      <w:r w:rsidR="00232432" w:rsidRPr="00E7327C">
        <w:rPr>
          <w:sz w:val="18"/>
          <w:szCs w:val="18"/>
          <w:lang w:val="en"/>
        </w:rPr>
        <w:br/>
      </w:r>
      <w:r w:rsidR="00232432" w:rsidRPr="00E7327C">
        <w:rPr>
          <w:rStyle w:val="tlid-translation"/>
          <w:sz w:val="18"/>
          <w:szCs w:val="18"/>
          <w:lang w:val="en"/>
        </w:rPr>
        <w:t>Thus, hypothesis 2.5.a) "More than 40 (forty) percent of households in villages and 10 (ten) percent in cities cook using firewood or rice husks or sawdust or other solid fuels" can be said to be fulfilled.</w:t>
      </w:r>
    </w:p>
    <w:p w:rsidR="008A4912" w:rsidRDefault="00232432" w:rsidP="008A4912">
      <w:pPr>
        <w:tabs>
          <w:tab w:val="left" w:pos="284"/>
        </w:tabs>
        <w:ind w:left="284" w:hanging="284"/>
        <w:jc w:val="both"/>
        <w:rPr>
          <w:rStyle w:val="tlid-translation"/>
          <w:sz w:val="18"/>
          <w:szCs w:val="18"/>
          <w:lang w:val="en"/>
        </w:rPr>
      </w:pPr>
      <w:r w:rsidRPr="00E7327C">
        <w:rPr>
          <w:rStyle w:val="tlid-translation"/>
          <w:sz w:val="18"/>
          <w:szCs w:val="18"/>
          <w:lang w:val="en"/>
        </w:rPr>
        <w:t xml:space="preserve">2. </w:t>
      </w:r>
      <w:r w:rsidR="008A4912">
        <w:rPr>
          <w:rStyle w:val="tlid-translation"/>
          <w:sz w:val="18"/>
          <w:szCs w:val="18"/>
          <w:lang w:val="en"/>
        </w:rPr>
        <w:tab/>
      </w:r>
      <w:r w:rsidRPr="00E7327C">
        <w:rPr>
          <w:rStyle w:val="tlid-translation"/>
          <w:sz w:val="18"/>
          <w:szCs w:val="18"/>
          <w:lang w:val="en"/>
        </w:rPr>
        <w:t>92.6 (ninety-two point six) percent of respondents know tofu craftsmen using solid fuel and its combination with biogas / LPG. Hypothesis 2.5.b) "More than 80 (eighty) percent of tofu craftsmen use fuel wood fuel or rice husk or other solid fuels" can be said to be fulfilled.</w:t>
      </w:r>
    </w:p>
    <w:p w:rsidR="008A4912" w:rsidRDefault="00232432" w:rsidP="008A4912">
      <w:pPr>
        <w:tabs>
          <w:tab w:val="left" w:pos="284"/>
        </w:tabs>
        <w:ind w:left="284" w:hanging="284"/>
        <w:jc w:val="both"/>
        <w:rPr>
          <w:rStyle w:val="tlid-translation"/>
          <w:sz w:val="18"/>
          <w:szCs w:val="18"/>
          <w:lang w:val="en"/>
        </w:rPr>
      </w:pPr>
      <w:r w:rsidRPr="00E7327C">
        <w:rPr>
          <w:rStyle w:val="tlid-translation"/>
          <w:sz w:val="18"/>
          <w:szCs w:val="18"/>
          <w:lang w:val="en"/>
        </w:rPr>
        <w:t xml:space="preserve">3. </w:t>
      </w:r>
      <w:r w:rsidR="008A4912">
        <w:rPr>
          <w:rStyle w:val="tlid-translation"/>
          <w:sz w:val="18"/>
          <w:szCs w:val="18"/>
          <w:lang w:val="en"/>
        </w:rPr>
        <w:tab/>
      </w:r>
      <w:r w:rsidRPr="00E7327C">
        <w:rPr>
          <w:rStyle w:val="tlid-translation"/>
          <w:sz w:val="18"/>
          <w:szCs w:val="18"/>
          <w:lang w:val="en"/>
        </w:rPr>
        <w:t>11.1 (eleven point one) percent of respondents of dairy farmers who utilize dairy cow dung to be used as biogas. Hypothesis 2.5.c) "More than 80 (eighty) percent of dairy farmers use their manure for biogas" not fulfilled.</w:t>
      </w:r>
    </w:p>
    <w:p w:rsidR="008A4912" w:rsidRDefault="00232432" w:rsidP="008A4912">
      <w:pPr>
        <w:tabs>
          <w:tab w:val="left" w:pos="284"/>
        </w:tabs>
        <w:ind w:left="284" w:hanging="284"/>
        <w:jc w:val="both"/>
        <w:rPr>
          <w:rStyle w:val="tlid-translation"/>
          <w:sz w:val="18"/>
          <w:szCs w:val="18"/>
          <w:lang w:val="en"/>
        </w:rPr>
      </w:pPr>
      <w:r w:rsidRPr="00E7327C">
        <w:rPr>
          <w:rStyle w:val="tlid-translation"/>
          <w:sz w:val="18"/>
          <w:szCs w:val="18"/>
          <w:lang w:val="en"/>
        </w:rPr>
        <w:t xml:space="preserve">4. </w:t>
      </w:r>
      <w:r w:rsidR="008A4912">
        <w:rPr>
          <w:rStyle w:val="tlid-translation"/>
          <w:sz w:val="18"/>
          <w:szCs w:val="18"/>
          <w:lang w:val="en"/>
        </w:rPr>
        <w:tab/>
      </w:r>
      <w:r w:rsidRPr="00E7327C">
        <w:rPr>
          <w:rStyle w:val="tlid-translation"/>
          <w:sz w:val="18"/>
          <w:szCs w:val="18"/>
          <w:lang w:val="en"/>
        </w:rPr>
        <w:t>There are no respondents who work as beef cattle breeders and other animals, hypothesis 2.5.d) "No more than 5 (five) percent of beef cattle breeders have used their manure to be used as biogas" and e) "No more than 5 (five) percent of other animal farmers and poultry that use their manure for biogas "are not met.</w:t>
      </w:r>
    </w:p>
    <w:p w:rsidR="008A4912" w:rsidRDefault="00232432" w:rsidP="008A4912">
      <w:pPr>
        <w:tabs>
          <w:tab w:val="left" w:pos="284"/>
        </w:tabs>
        <w:ind w:left="284" w:hanging="284"/>
        <w:jc w:val="both"/>
        <w:rPr>
          <w:rStyle w:val="tlid-translation"/>
          <w:sz w:val="18"/>
          <w:szCs w:val="18"/>
          <w:lang w:val="en"/>
        </w:rPr>
      </w:pPr>
      <w:r w:rsidRPr="00E7327C">
        <w:rPr>
          <w:rStyle w:val="tlid-translation"/>
          <w:sz w:val="18"/>
          <w:szCs w:val="18"/>
          <w:lang w:val="en"/>
        </w:rPr>
        <w:t xml:space="preserve">5. </w:t>
      </w:r>
      <w:r w:rsidR="008A4912">
        <w:rPr>
          <w:rStyle w:val="tlid-translation"/>
          <w:sz w:val="18"/>
          <w:szCs w:val="18"/>
          <w:lang w:val="en"/>
        </w:rPr>
        <w:tab/>
      </w:r>
      <w:r w:rsidRPr="00E7327C">
        <w:rPr>
          <w:rStyle w:val="tlid-translation"/>
          <w:sz w:val="18"/>
          <w:szCs w:val="18"/>
          <w:lang w:val="en"/>
        </w:rPr>
        <w:t>49.9 (forty-nine point nine) percent of respondents know tofu utilizing their liquid waste to be used as biogas. Hypothesis 2.5.f) "No more than 20 (twenty) percent of tofu craftsmen who use their liquid waste to be used as biogas" can be said to be fulfilled.</w:t>
      </w:r>
    </w:p>
    <w:p w:rsidR="008A4912" w:rsidRDefault="00232432" w:rsidP="008A4912">
      <w:pPr>
        <w:tabs>
          <w:tab w:val="left" w:pos="284"/>
        </w:tabs>
        <w:ind w:left="284" w:hanging="284"/>
        <w:jc w:val="both"/>
        <w:rPr>
          <w:rStyle w:val="tlid-translation"/>
          <w:sz w:val="18"/>
          <w:szCs w:val="18"/>
          <w:lang w:val="en"/>
        </w:rPr>
      </w:pPr>
      <w:r w:rsidRPr="00E7327C">
        <w:rPr>
          <w:rStyle w:val="tlid-translation"/>
          <w:sz w:val="18"/>
          <w:szCs w:val="18"/>
          <w:lang w:val="en"/>
        </w:rPr>
        <w:t xml:space="preserve">6. </w:t>
      </w:r>
      <w:r w:rsidR="008A4912">
        <w:rPr>
          <w:rStyle w:val="tlid-translation"/>
          <w:sz w:val="18"/>
          <w:szCs w:val="18"/>
          <w:lang w:val="en"/>
        </w:rPr>
        <w:tab/>
      </w:r>
      <w:r w:rsidRPr="00E7327C">
        <w:rPr>
          <w:rStyle w:val="tlid-translation"/>
          <w:sz w:val="18"/>
          <w:szCs w:val="18"/>
          <w:lang w:val="en"/>
        </w:rPr>
        <w:t>The contribution and potential contribution of the Indonesian population to the achievement of the primary energy mix target for EBT, especially in the use of solid fuels and biogas for household and business needs, should be taken into account by the government.</w:t>
      </w:r>
      <w:r w:rsidR="008A4912">
        <w:rPr>
          <w:rStyle w:val="tlid-translation"/>
          <w:sz w:val="18"/>
          <w:szCs w:val="18"/>
          <w:lang w:val="en"/>
        </w:rPr>
        <w:t xml:space="preserve">     </w:t>
      </w:r>
    </w:p>
    <w:p w:rsidR="008A4912" w:rsidRDefault="008A4912" w:rsidP="008A4912">
      <w:pPr>
        <w:jc w:val="both"/>
        <w:rPr>
          <w:rStyle w:val="tlid-translation"/>
          <w:sz w:val="18"/>
          <w:szCs w:val="18"/>
          <w:lang w:val="en"/>
        </w:rPr>
      </w:pPr>
      <w:r>
        <w:rPr>
          <w:rStyle w:val="tlid-translation"/>
          <w:sz w:val="18"/>
          <w:szCs w:val="18"/>
          <w:lang w:val="en"/>
        </w:rPr>
        <w:tab/>
      </w:r>
      <w:r w:rsidR="00232432" w:rsidRPr="00E7327C">
        <w:rPr>
          <w:rStyle w:val="tlid-translation"/>
          <w:sz w:val="18"/>
          <w:szCs w:val="18"/>
          <w:lang w:val="en"/>
        </w:rPr>
        <w:t>The minimum contribution that can be achieved is 3.80 (three point eight) percent in 2018 and increased to 8.16 (eight</w:t>
      </w:r>
      <w:r w:rsidR="00232432" w:rsidRPr="00232432">
        <w:rPr>
          <w:rStyle w:val="tlid-translation"/>
          <w:sz w:val="18"/>
          <w:szCs w:val="18"/>
          <w:lang w:val="en"/>
        </w:rPr>
        <w:t xml:space="preserve"> point sixteen) percent in 2025 or around 35 (thirty five) percent of the target mix.</w:t>
      </w:r>
    </w:p>
    <w:p w:rsidR="008A4912" w:rsidRDefault="00232432" w:rsidP="008A4912">
      <w:pPr>
        <w:jc w:val="both"/>
        <w:rPr>
          <w:rStyle w:val="tlid-translation"/>
          <w:b/>
          <w:sz w:val="18"/>
          <w:szCs w:val="18"/>
          <w:lang w:val="en"/>
        </w:rPr>
      </w:pPr>
      <w:r w:rsidRPr="00232432">
        <w:rPr>
          <w:sz w:val="18"/>
          <w:szCs w:val="18"/>
          <w:lang w:val="en"/>
        </w:rPr>
        <w:br/>
      </w:r>
      <w:r w:rsidR="00B40A30">
        <w:rPr>
          <w:rStyle w:val="tlid-translation"/>
          <w:b/>
          <w:sz w:val="18"/>
          <w:szCs w:val="18"/>
          <w:lang w:val="en"/>
        </w:rPr>
        <w:t>4</w:t>
      </w:r>
      <w:r>
        <w:rPr>
          <w:rStyle w:val="tlid-translation"/>
          <w:b/>
          <w:sz w:val="18"/>
          <w:szCs w:val="18"/>
          <w:lang w:val="en"/>
        </w:rPr>
        <w:t xml:space="preserve">.2 </w:t>
      </w:r>
      <w:r w:rsidR="008A4912">
        <w:rPr>
          <w:rStyle w:val="tlid-translation"/>
          <w:b/>
          <w:sz w:val="18"/>
          <w:szCs w:val="18"/>
          <w:lang w:val="en"/>
        </w:rPr>
        <w:t xml:space="preserve"> </w:t>
      </w:r>
      <w:r>
        <w:rPr>
          <w:rStyle w:val="tlid-translation"/>
          <w:b/>
          <w:sz w:val="18"/>
          <w:szCs w:val="18"/>
          <w:lang w:val="en"/>
        </w:rPr>
        <w:t>Recommendations</w:t>
      </w:r>
    </w:p>
    <w:p w:rsidR="008A4912" w:rsidRDefault="00232432" w:rsidP="008A4912">
      <w:pPr>
        <w:tabs>
          <w:tab w:val="left" w:pos="284"/>
        </w:tabs>
        <w:ind w:left="284" w:hanging="284"/>
        <w:jc w:val="both"/>
        <w:rPr>
          <w:rStyle w:val="tlid-translation"/>
          <w:sz w:val="18"/>
          <w:szCs w:val="18"/>
          <w:lang w:val="en"/>
        </w:rPr>
      </w:pPr>
      <w:r w:rsidRPr="00232432">
        <w:rPr>
          <w:rStyle w:val="tlid-translation"/>
          <w:sz w:val="18"/>
          <w:szCs w:val="18"/>
          <w:lang w:val="en"/>
        </w:rPr>
        <w:t xml:space="preserve">1. </w:t>
      </w:r>
      <w:r w:rsidR="002F4FC3">
        <w:rPr>
          <w:rStyle w:val="tlid-translation"/>
          <w:sz w:val="18"/>
          <w:szCs w:val="18"/>
          <w:lang w:val="en"/>
        </w:rPr>
        <w:t xml:space="preserve"> </w:t>
      </w:r>
      <w:r w:rsidRPr="00232432">
        <w:rPr>
          <w:rStyle w:val="tlid-translation"/>
          <w:sz w:val="18"/>
          <w:szCs w:val="18"/>
          <w:lang w:val="en"/>
        </w:rPr>
        <w:t xml:space="preserve">The Government, through the National Energy Council, conducts more comprehensive research in all regions in Indonesia to be able to obtain real data. The real data to be obtained is data on the amount of use of solid fuels and biogas as well as the potential that can be generated from the utilization of livestock manure which has not been processed into biogas. This data can be used as material in calculating the achievement of the </w:t>
      </w:r>
      <w:r w:rsidR="00B40A30">
        <w:rPr>
          <w:rStyle w:val="tlid-translation"/>
          <w:sz w:val="18"/>
          <w:szCs w:val="18"/>
          <w:lang w:val="en"/>
        </w:rPr>
        <w:t>NRE</w:t>
      </w:r>
      <w:r w:rsidRPr="00232432">
        <w:rPr>
          <w:rStyle w:val="tlid-translation"/>
          <w:sz w:val="18"/>
          <w:szCs w:val="18"/>
          <w:lang w:val="en"/>
        </w:rPr>
        <w:t xml:space="preserve"> target that must be achieved by the government, both in 2025 and 2050.</w:t>
      </w:r>
    </w:p>
    <w:p w:rsidR="008A4912" w:rsidRDefault="00232432" w:rsidP="008A4912">
      <w:pPr>
        <w:ind w:left="284" w:hanging="284"/>
        <w:jc w:val="both"/>
        <w:rPr>
          <w:rStyle w:val="tlid-translation"/>
          <w:sz w:val="18"/>
          <w:szCs w:val="18"/>
          <w:lang w:val="en"/>
        </w:rPr>
      </w:pPr>
      <w:r w:rsidRPr="00232432">
        <w:rPr>
          <w:rStyle w:val="tlid-translation"/>
          <w:sz w:val="18"/>
          <w:szCs w:val="18"/>
          <w:lang w:val="en"/>
        </w:rPr>
        <w:t xml:space="preserve">2. </w:t>
      </w:r>
      <w:r w:rsidR="008A4912">
        <w:rPr>
          <w:rStyle w:val="tlid-translation"/>
          <w:sz w:val="18"/>
          <w:szCs w:val="18"/>
          <w:lang w:val="en"/>
        </w:rPr>
        <w:tab/>
      </w:r>
      <w:r w:rsidRPr="00232432">
        <w:rPr>
          <w:rStyle w:val="tlid-translation"/>
          <w:sz w:val="18"/>
          <w:szCs w:val="18"/>
          <w:lang w:val="en"/>
        </w:rPr>
        <w:t>Accelerating the planting program of Industrial Energy Forest Plantations (HTIE) by dividing 3 plantation areas:</w:t>
      </w:r>
    </w:p>
    <w:p w:rsidR="008A4912" w:rsidRDefault="00232432" w:rsidP="008A4912">
      <w:pPr>
        <w:tabs>
          <w:tab w:val="left" w:pos="567"/>
        </w:tabs>
        <w:ind w:left="568" w:hanging="284"/>
        <w:jc w:val="both"/>
        <w:rPr>
          <w:rStyle w:val="tlid-translation"/>
          <w:sz w:val="18"/>
          <w:szCs w:val="18"/>
          <w:lang w:val="en"/>
        </w:rPr>
      </w:pPr>
      <w:r w:rsidRPr="00232432">
        <w:rPr>
          <w:rStyle w:val="tlid-translation"/>
          <w:sz w:val="18"/>
          <w:szCs w:val="18"/>
          <w:lang w:val="en"/>
        </w:rPr>
        <w:t xml:space="preserve">a) </w:t>
      </w:r>
      <w:r w:rsidR="008A4912">
        <w:rPr>
          <w:rStyle w:val="tlid-translation"/>
          <w:sz w:val="18"/>
          <w:szCs w:val="18"/>
          <w:lang w:val="en"/>
        </w:rPr>
        <w:tab/>
      </w:r>
      <w:r w:rsidRPr="00232432">
        <w:rPr>
          <w:rStyle w:val="tlid-translation"/>
          <w:sz w:val="18"/>
          <w:szCs w:val="18"/>
          <w:lang w:val="en"/>
        </w:rPr>
        <w:t>For the purposes of cooking / business of the population.</w:t>
      </w:r>
    </w:p>
    <w:p w:rsidR="008A4912" w:rsidRDefault="00232432" w:rsidP="008A4912">
      <w:pPr>
        <w:tabs>
          <w:tab w:val="left" w:pos="567"/>
        </w:tabs>
        <w:ind w:left="568" w:hanging="284"/>
        <w:jc w:val="both"/>
        <w:rPr>
          <w:rStyle w:val="tlid-translation"/>
          <w:sz w:val="18"/>
          <w:szCs w:val="18"/>
          <w:lang w:val="en"/>
        </w:rPr>
      </w:pPr>
      <w:r>
        <w:rPr>
          <w:rStyle w:val="tlid-translation"/>
          <w:sz w:val="18"/>
          <w:szCs w:val="18"/>
          <w:lang w:val="en"/>
        </w:rPr>
        <w:t>b)</w:t>
      </w:r>
      <w:r w:rsidR="008A4912">
        <w:rPr>
          <w:rStyle w:val="tlid-translation"/>
          <w:sz w:val="18"/>
          <w:szCs w:val="18"/>
          <w:lang w:val="en"/>
        </w:rPr>
        <w:tab/>
      </w:r>
      <w:r w:rsidRPr="00232432">
        <w:rPr>
          <w:rStyle w:val="tlid-translation"/>
          <w:sz w:val="18"/>
          <w:szCs w:val="18"/>
          <w:lang w:val="en"/>
        </w:rPr>
        <w:t>For regional power generation purposes  remote / isolated.</w:t>
      </w:r>
    </w:p>
    <w:p w:rsidR="008A4912" w:rsidRDefault="00232432" w:rsidP="008A4912">
      <w:pPr>
        <w:tabs>
          <w:tab w:val="left" w:pos="567"/>
        </w:tabs>
        <w:ind w:left="568" w:hanging="284"/>
        <w:jc w:val="both"/>
        <w:rPr>
          <w:rStyle w:val="tlid-translation"/>
          <w:sz w:val="18"/>
          <w:szCs w:val="18"/>
          <w:lang w:val="en"/>
        </w:rPr>
      </w:pPr>
      <w:r>
        <w:rPr>
          <w:rStyle w:val="tlid-translation"/>
          <w:sz w:val="18"/>
          <w:szCs w:val="18"/>
          <w:lang w:val="en"/>
        </w:rPr>
        <w:t>c)</w:t>
      </w:r>
      <w:r w:rsidR="008A4912">
        <w:rPr>
          <w:rStyle w:val="tlid-translation"/>
          <w:sz w:val="18"/>
          <w:szCs w:val="18"/>
          <w:lang w:val="en"/>
        </w:rPr>
        <w:tab/>
      </w:r>
      <w:r w:rsidRPr="00232432">
        <w:rPr>
          <w:rStyle w:val="tlid-translation"/>
          <w:sz w:val="18"/>
          <w:szCs w:val="18"/>
          <w:lang w:val="en"/>
        </w:rPr>
        <w:t>For export purposes by making.</w:t>
      </w:r>
      <w:r w:rsidR="008A4912">
        <w:rPr>
          <w:rStyle w:val="tlid-translation"/>
          <w:sz w:val="18"/>
          <w:szCs w:val="18"/>
          <w:lang w:val="en"/>
        </w:rPr>
        <w:t xml:space="preserve"> </w:t>
      </w:r>
      <w:r w:rsidRPr="00232432">
        <w:rPr>
          <w:rStyle w:val="tlid-translation"/>
          <w:sz w:val="18"/>
          <w:szCs w:val="18"/>
          <w:lang w:val="en"/>
        </w:rPr>
        <w:t>firewood in the form of wood pellets or wood</w:t>
      </w:r>
      <w:r w:rsidR="008A4912">
        <w:rPr>
          <w:sz w:val="18"/>
          <w:szCs w:val="18"/>
          <w:lang w:val="en"/>
        </w:rPr>
        <w:t xml:space="preserve"> </w:t>
      </w:r>
      <w:r w:rsidRPr="00232432">
        <w:rPr>
          <w:rStyle w:val="tlid-translation"/>
          <w:sz w:val="18"/>
          <w:szCs w:val="18"/>
          <w:lang w:val="en"/>
        </w:rPr>
        <w:t>chips.</w:t>
      </w:r>
    </w:p>
    <w:p w:rsidR="008A4912" w:rsidRDefault="00232432" w:rsidP="008A4912">
      <w:pPr>
        <w:tabs>
          <w:tab w:val="left" w:pos="284"/>
        </w:tabs>
        <w:ind w:left="284" w:hanging="284"/>
        <w:jc w:val="both"/>
        <w:rPr>
          <w:rStyle w:val="tlid-translation"/>
          <w:sz w:val="18"/>
          <w:szCs w:val="18"/>
          <w:lang w:val="en"/>
        </w:rPr>
      </w:pPr>
      <w:r w:rsidRPr="00232432">
        <w:rPr>
          <w:rStyle w:val="tlid-translation"/>
          <w:sz w:val="18"/>
          <w:szCs w:val="18"/>
          <w:lang w:val="en"/>
        </w:rPr>
        <w:t xml:space="preserve">3. </w:t>
      </w:r>
      <w:r w:rsidR="008A4912">
        <w:rPr>
          <w:rStyle w:val="tlid-translation"/>
          <w:sz w:val="18"/>
          <w:szCs w:val="18"/>
          <w:lang w:val="en"/>
        </w:rPr>
        <w:tab/>
      </w:r>
      <w:r w:rsidRPr="00232432">
        <w:rPr>
          <w:rStyle w:val="tlid-translation"/>
          <w:sz w:val="18"/>
          <w:szCs w:val="18"/>
          <w:lang w:val="en"/>
        </w:rPr>
        <w:t xml:space="preserve">Monitor the use of energy efficient furnace equipment and reactor / biogas digesters that have been donated by the </w:t>
      </w:r>
      <w:r w:rsidRPr="00232432">
        <w:rPr>
          <w:rStyle w:val="tlid-translation"/>
          <w:sz w:val="18"/>
          <w:szCs w:val="18"/>
          <w:lang w:val="en"/>
        </w:rPr>
        <w:lastRenderedPageBreak/>
        <w:t>government / Dinas ESDM / PLN / other parties to residents or village cooperatives to be maintained and improved by users.</w:t>
      </w:r>
    </w:p>
    <w:p w:rsidR="008A4912" w:rsidRDefault="00232432" w:rsidP="008A4912">
      <w:pPr>
        <w:tabs>
          <w:tab w:val="left" w:pos="284"/>
        </w:tabs>
        <w:ind w:left="284" w:hanging="284"/>
        <w:jc w:val="both"/>
        <w:rPr>
          <w:rStyle w:val="tlid-translation"/>
          <w:sz w:val="18"/>
          <w:szCs w:val="18"/>
          <w:lang w:val="en"/>
        </w:rPr>
      </w:pPr>
      <w:r w:rsidRPr="00232432">
        <w:rPr>
          <w:rStyle w:val="tlid-translation"/>
          <w:sz w:val="18"/>
          <w:szCs w:val="18"/>
          <w:lang w:val="en"/>
        </w:rPr>
        <w:t xml:space="preserve">4. </w:t>
      </w:r>
      <w:r w:rsidR="008A4912">
        <w:rPr>
          <w:rStyle w:val="tlid-translation"/>
          <w:sz w:val="18"/>
          <w:szCs w:val="18"/>
          <w:lang w:val="en"/>
        </w:rPr>
        <w:tab/>
      </w:r>
      <w:r w:rsidRPr="00232432">
        <w:rPr>
          <w:rStyle w:val="tlid-translation"/>
          <w:sz w:val="18"/>
          <w:szCs w:val="18"/>
          <w:lang w:val="en"/>
        </w:rPr>
        <w:t>Conducting socialization to the rural population on the benefits of using and utilizing solid fuels and biogas from animal waste and tofu waste.</w:t>
      </w:r>
    </w:p>
    <w:p w:rsidR="008A4912" w:rsidRDefault="00232432" w:rsidP="008A4912">
      <w:pPr>
        <w:tabs>
          <w:tab w:val="left" w:pos="284"/>
        </w:tabs>
        <w:ind w:left="284" w:hanging="284"/>
        <w:jc w:val="both"/>
        <w:rPr>
          <w:rStyle w:val="tlid-translation"/>
          <w:sz w:val="18"/>
          <w:szCs w:val="18"/>
          <w:lang w:val="en"/>
        </w:rPr>
      </w:pPr>
      <w:r w:rsidRPr="00232432">
        <w:rPr>
          <w:rStyle w:val="tlid-translation"/>
          <w:sz w:val="18"/>
          <w:szCs w:val="18"/>
          <w:lang w:val="en"/>
        </w:rPr>
        <w:t xml:space="preserve">5. </w:t>
      </w:r>
      <w:r w:rsidR="008A4912">
        <w:rPr>
          <w:rStyle w:val="tlid-translation"/>
          <w:sz w:val="18"/>
          <w:szCs w:val="18"/>
          <w:lang w:val="en"/>
        </w:rPr>
        <w:tab/>
      </w:r>
      <w:r w:rsidRPr="00232432">
        <w:rPr>
          <w:rStyle w:val="tlid-translation"/>
          <w:sz w:val="18"/>
          <w:szCs w:val="18"/>
          <w:lang w:val="en"/>
        </w:rPr>
        <w:t>Increasing knowledge of farmers and tofu craftsmen on the making, installation, operation and maintenance of biogas reactors / digesters.</w:t>
      </w:r>
    </w:p>
    <w:p w:rsidR="008A4912" w:rsidRDefault="00232432" w:rsidP="008A4912">
      <w:pPr>
        <w:tabs>
          <w:tab w:val="left" w:pos="284"/>
        </w:tabs>
        <w:ind w:left="284" w:hanging="284"/>
        <w:jc w:val="both"/>
        <w:rPr>
          <w:rStyle w:val="tlid-translation"/>
          <w:sz w:val="18"/>
          <w:szCs w:val="18"/>
          <w:lang w:val="en"/>
        </w:rPr>
      </w:pPr>
      <w:r w:rsidRPr="00232432">
        <w:rPr>
          <w:rStyle w:val="tlid-translation"/>
          <w:sz w:val="18"/>
          <w:szCs w:val="18"/>
          <w:lang w:val="en"/>
        </w:rPr>
        <w:t>6. Conduct studies and design innovations and combustion systems waiting for solid fuels with little smoke or smokeless.</w:t>
      </w:r>
    </w:p>
    <w:p w:rsidR="000D35CE" w:rsidRPr="00232432" w:rsidRDefault="00232432" w:rsidP="008A4912">
      <w:pPr>
        <w:tabs>
          <w:tab w:val="left" w:pos="284"/>
        </w:tabs>
        <w:ind w:left="284" w:hanging="284"/>
        <w:jc w:val="both"/>
        <w:rPr>
          <w:sz w:val="18"/>
          <w:szCs w:val="18"/>
        </w:rPr>
      </w:pPr>
      <w:r w:rsidRPr="00232432">
        <w:rPr>
          <w:rStyle w:val="tlid-translation"/>
          <w:sz w:val="18"/>
          <w:szCs w:val="18"/>
          <w:lang w:val="en"/>
        </w:rPr>
        <w:t>7. Conducting studies and innovations in terms of material selection of biogas stoves so that they are not easily corroded.</w:t>
      </w:r>
      <w:r w:rsidRPr="00232432">
        <w:rPr>
          <w:sz w:val="18"/>
          <w:szCs w:val="18"/>
          <w:lang w:val="en"/>
        </w:rPr>
        <w:br/>
      </w:r>
      <w:r w:rsidRPr="00232432">
        <w:rPr>
          <w:rStyle w:val="tlid-translation"/>
          <w:sz w:val="18"/>
          <w:szCs w:val="18"/>
          <w:lang w:val="en"/>
        </w:rPr>
        <w:t>8. Conduct studies and innovations in making biogas reactors from tofu waste that can be operated simply at a cost that is affordable by tofu craftsmen.</w:t>
      </w:r>
    </w:p>
    <w:p w:rsidR="005F35D0" w:rsidRPr="00355FAB" w:rsidRDefault="005F35D0" w:rsidP="00AA17F7">
      <w:pPr>
        <w:jc w:val="both"/>
        <w:rPr>
          <w:sz w:val="18"/>
          <w:szCs w:val="18"/>
        </w:rPr>
      </w:pPr>
    </w:p>
    <w:p w:rsidR="00355FAB" w:rsidRPr="008A4912" w:rsidRDefault="00355FAB" w:rsidP="00355F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16"/>
          <w:szCs w:val="18"/>
        </w:rPr>
      </w:pPr>
      <w:r w:rsidRPr="008A4912">
        <w:rPr>
          <w:b/>
          <w:sz w:val="18"/>
          <w:szCs w:val="18"/>
        </w:rPr>
        <w:t>ACKNOWLEDGEMENTS</w:t>
      </w:r>
    </w:p>
    <w:p w:rsidR="00D26D08" w:rsidRPr="0014373E" w:rsidRDefault="00D26D08" w:rsidP="00D26D08">
      <w:pPr>
        <w:jc w:val="both"/>
        <w:rPr>
          <w:sz w:val="18"/>
          <w:szCs w:val="18"/>
          <w:lang w:eastAsia="ja-JP"/>
        </w:rPr>
      </w:pPr>
      <w:r w:rsidRPr="0014373E">
        <w:rPr>
          <w:sz w:val="18"/>
          <w:szCs w:val="18"/>
          <w:lang w:eastAsia="ja-JP"/>
        </w:rPr>
        <w:t xml:space="preserve">The </w:t>
      </w:r>
      <w:r w:rsidRPr="00BE0A57">
        <w:rPr>
          <w:sz w:val="18"/>
          <w:szCs w:val="18"/>
          <w:lang w:eastAsia="ja-JP"/>
        </w:rPr>
        <w:t>author</w:t>
      </w:r>
      <w:r w:rsidRPr="00BE0A57">
        <w:rPr>
          <w:rFonts w:hint="eastAsia"/>
          <w:sz w:val="18"/>
          <w:szCs w:val="18"/>
          <w:lang w:eastAsia="ja-JP"/>
        </w:rPr>
        <w:t>s</w:t>
      </w:r>
      <w:r w:rsidRPr="0014373E">
        <w:rPr>
          <w:sz w:val="18"/>
          <w:szCs w:val="18"/>
          <w:lang w:eastAsia="ja-JP"/>
        </w:rPr>
        <w:t xml:space="preserve"> would like to convey a great appreciation to </w:t>
      </w:r>
      <w:r w:rsidR="00BE0A57">
        <w:rPr>
          <w:sz w:val="18"/>
          <w:szCs w:val="18"/>
          <w:lang w:eastAsia="ja-JP"/>
        </w:rPr>
        <w:t>all those who help and provide support until the completion of this research.</w:t>
      </w:r>
    </w:p>
    <w:p w:rsidR="008A4912" w:rsidRPr="00355FAB" w:rsidRDefault="008A4912" w:rsidP="00D26D08">
      <w:pPr>
        <w:jc w:val="both"/>
        <w:rPr>
          <w:sz w:val="18"/>
          <w:szCs w:val="18"/>
          <w:lang w:eastAsia="ja-JP"/>
        </w:rPr>
      </w:pPr>
    </w:p>
    <w:p w:rsidR="00B33997" w:rsidRDefault="00B33997" w:rsidP="00D26D08">
      <w:pPr>
        <w:jc w:val="both"/>
        <w:rPr>
          <w:b/>
          <w:lang w:eastAsia="ja-JP"/>
        </w:rPr>
      </w:pPr>
      <w:r w:rsidRPr="00351898">
        <w:rPr>
          <w:b/>
          <w:lang w:eastAsia="ja-JP"/>
        </w:rPr>
        <w:t>REFERENCE</w:t>
      </w:r>
    </w:p>
    <w:p w:rsidR="004C1CC5" w:rsidRDefault="004C1CC5" w:rsidP="004C1CC5">
      <w:pPr>
        <w:tabs>
          <w:tab w:val="left" w:pos="630"/>
        </w:tabs>
        <w:ind w:left="567" w:hanging="567"/>
        <w:jc w:val="both"/>
        <w:rPr>
          <w:sz w:val="18"/>
          <w:szCs w:val="18"/>
        </w:rPr>
      </w:pPr>
      <w:r>
        <w:rPr>
          <w:sz w:val="18"/>
          <w:szCs w:val="18"/>
        </w:rPr>
        <w:t>[1</w:t>
      </w:r>
      <w:r w:rsidRPr="00427789">
        <w:rPr>
          <w:sz w:val="18"/>
          <w:szCs w:val="18"/>
        </w:rPr>
        <w:t xml:space="preserve">]  </w:t>
      </w:r>
      <w:r>
        <w:rPr>
          <w:sz w:val="18"/>
          <w:szCs w:val="18"/>
        </w:rPr>
        <w:t xml:space="preserve">    </w:t>
      </w:r>
      <w:r>
        <w:rPr>
          <w:sz w:val="18"/>
          <w:szCs w:val="18"/>
        </w:rPr>
        <w:tab/>
      </w:r>
      <w:r w:rsidRPr="004C1CC5">
        <w:rPr>
          <w:i/>
          <w:sz w:val="18"/>
          <w:szCs w:val="18"/>
        </w:rPr>
        <w:t>Peraturan PresidenRepublik Indonesia Nomor 22 Tahun</w:t>
      </w:r>
      <w:r w:rsidRPr="004C1CC5">
        <w:rPr>
          <w:sz w:val="18"/>
          <w:szCs w:val="18"/>
        </w:rPr>
        <w:t xml:space="preserve"> </w:t>
      </w:r>
      <w:r w:rsidRPr="004C1CC5">
        <w:rPr>
          <w:i/>
          <w:sz w:val="18"/>
          <w:szCs w:val="18"/>
        </w:rPr>
        <w:t>2017 Tentang Rencana Umum Energi Nasional</w:t>
      </w:r>
      <w:r w:rsidRPr="004C1CC5">
        <w:rPr>
          <w:sz w:val="18"/>
          <w:szCs w:val="18"/>
        </w:rPr>
        <w:t>, 2 Maret 2017.</w:t>
      </w:r>
    </w:p>
    <w:p w:rsidR="000217BF" w:rsidRDefault="000217BF" w:rsidP="000217BF">
      <w:pPr>
        <w:tabs>
          <w:tab w:val="left" w:pos="567"/>
        </w:tabs>
        <w:ind w:left="567" w:hanging="567"/>
        <w:jc w:val="both"/>
        <w:rPr>
          <w:sz w:val="18"/>
          <w:szCs w:val="18"/>
        </w:rPr>
      </w:pPr>
      <w:r>
        <w:rPr>
          <w:sz w:val="18"/>
          <w:szCs w:val="18"/>
        </w:rPr>
        <w:t>[2</w:t>
      </w:r>
      <w:r w:rsidRPr="00427789">
        <w:rPr>
          <w:sz w:val="18"/>
          <w:szCs w:val="18"/>
        </w:rPr>
        <w:t xml:space="preserve">]  </w:t>
      </w:r>
      <w:r w:rsidRPr="00427789">
        <w:rPr>
          <w:sz w:val="18"/>
          <w:szCs w:val="18"/>
        </w:rPr>
        <w:tab/>
      </w:r>
      <w:r w:rsidRPr="004C1CC5">
        <w:rPr>
          <w:i/>
          <w:sz w:val="18"/>
          <w:szCs w:val="18"/>
        </w:rPr>
        <w:t>Peraturan Pemerintah Republik Indonesia Nomor 79 Tahun 2014 Tentang Kebijakan Energi Nasional</w:t>
      </w:r>
      <w:r w:rsidRPr="00427789">
        <w:rPr>
          <w:sz w:val="18"/>
          <w:szCs w:val="18"/>
        </w:rPr>
        <w:t>, 17 Oktober 2014.</w:t>
      </w:r>
    </w:p>
    <w:p w:rsidR="000217BF" w:rsidRPr="004C1CC5" w:rsidRDefault="000217BF" w:rsidP="000217BF">
      <w:pPr>
        <w:tabs>
          <w:tab w:val="left" w:pos="567"/>
        </w:tabs>
        <w:ind w:left="567" w:hanging="567"/>
        <w:jc w:val="both"/>
        <w:rPr>
          <w:sz w:val="18"/>
          <w:szCs w:val="18"/>
        </w:rPr>
      </w:pPr>
      <w:r>
        <w:rPr>
          <w:sz w:val="18"/>
          <w:szCs w:val="18"/>
        </w:rPr>
        <w:t>[3</w:t>
      </w:r>
      <w:r w:rsidRPr="00427789">
        <w:rPr>
          <w:sz w:val="18"/>
          <w:szCs w:val="18"/>
        </w:rPr>
        <w:t xml:space="preserve">] </w:t>
      </w:r>
      <w:r w:rsidRPr="00427789">
        <w:rPr>
          <w:sz w:val="18"/>
          <w:szCs w:val="18"/>
        </w:rPr>
        <w:tab/>
      </w:r>
      <w:r w:rsidRPr="004C1CC5">
        <w:rPr>
          <w:i/>
          <w:sz w:val="18"/>
          <w:szCs w:val="18"/>
        </w:rPr>
        <w:t>Peraturan Presiden Republik Indonesia Nomor 61 Tahun</w:t>
      </w:r>
      <w:r w:rsidRPr="00427789">
        <w:rPr>
          <w:sz w:val="18"/>
          <w:szCs w:val="18"/>
        </w:rPr>
        <w:t xml:space="preserve"> </w:t>
      </w:r>
      <w:r w:rsidRPr="004C1CC5">
        <w:rPr>
          <w:i/>
          <w:sz w:val="18"/>
          <w:szCs w:val="18"/>
        </w:rPr>
        <w:t>2011 Tentang Kegiatan Rencana Aksi Nasional Penurunan</w:t>
      </w:r>
      <w:r w:rsidRPr="00427789">
        <w:rPr>
          <w:sz w:val="18"/>
          <w:szCs w:val="18"/>
        </w:rPr>
        <w:t xml:space="preserve"> </w:t>
      </w:r>
      <w:r w:rsidRPr="004C1CC5">
        <w:rPr>
          <w:i/>
          <w:sz w:val="18"/>
          <w:szCs w:val="18"/>
        </w:rPr>
        <w:t>Emisi Gas Rumah Kaca</w:t>
      </w:r>
      <w:r w:rsidRPr="00427789">
        <w:rPr>
          <w:sz w:val="18"/>
          <w:szCs w:val="18"/>
        </w:rPr>
        <w:t>, Lampiran II, 20 September 2011.</w:t>
      </w:r>
    </w:p>
    <w:p w:rsidR="004C1CC5" w:rsidRPr="00427789" w:rsidRDefault="000217BF" w:rsidP="000217BF">
      <w:pPr>
        <w:tabs>
          <w:tab w:val="left" w:pos="567"/>
        </w:tabs>
        <w:ind w:left="567" w:hanging="567"/>
        <w:jc w:val="both"/>
        <w:rPr>
          <w:sz w:val="18"/>
          <w:szCs w:val="18"/>
        </w:rPr>
      </w:pPr>
      <w:r>
        <w:rPr>
          <w:sz w:val="18"/>
          <w:szCs w:val="18"/>
        </w:rPr>
        <w:t>[4</w:t>
      </w:r>
      <w:r w:rsidR="004C1CC5" w:rsidRPr="00427789">
        <w:rPr>
          <w:sz w:val="18"/>
          <w:szCs w:val="18"/>
        </w:rPr>
        <w:t xml:space="preserve">]    </w:t>
      </w:r>
      <w:r w:rsidR="004C1CC5" w:rsidRPr="00427789">
        <w:rPr>
          <w:sz w:val="18"/>
          <w:szCs w:val="18"/>
        </w:rPr>
        <w:tab/>
        <w:t xml:space="preserve">Pusat Pengkajian Industri Proses dan Energi BPPT, </w:t>
      </w:r>
      <w:r w:rsidR="004C1CC5" w:rsidRPr="004C1CC5">
        <w:rPr>
          <w:i/>
          <w:sz w:val="18"/>
          <w:szCs w:val="18"/>
        </w:rPr>
        <w:t>Outlook Energi Indonesia 2018, Energi Berkelanjutan</w:t>
      </w:r>
      <w:r w:rsidR="004C1CC5" w:rsidRPr="00427789">
        <w:rPr>
          <w:sz w:val="18"/>
          <w:szCs w:val="18"/>
        </w:rPr>
        <w:t xml:space="preserve"> </w:t>
      </w:r>
      <w:r w:rsidR="004C1CC5" w:rsidRPr="004C1CC5">
        <w:rPr>
          <w:i/>
          <w:sz w:val="18"/>
          <w:szCs w:val="18"/>
        </w:rPr>
        <w:t>untuk Transportation Darat</w:t>
      </w:r>
      <w:r w:rsidR="004C1CC5" w:rsidRPr="00427789">
        <w:rPr>
          <w:sz w:val="18"/>
          <w:szCs w:val="18"/>
        </w:rPr>
        <w:t xml:space="preserve">, ISBN 978-602-1328-05-7, </w:t>
      </w:r>
      <w:hyperlink r:id="rId15" w:history="1">
        <w:r w:rsidR="004C1CC5" w:rsidRPr="00427789">
          <w:rPr>
            <w:rStyle w:val="Hyperlink"/>
            <w:sz w:val="18"/>
            <w:szCs w:val="18"/>
          </w:rPr>
          <w:t>www.bppt.go.id</w:t>
        </w:r>
      </w:hyperlink>
      <w:r w:rsidR="004C1CC5" w:rsidRPr="00427789">
        <w:rPr>
          <w:sz w:val="18"/>
          <w:szCs w:val="18"/>
        </w:rPr>
        <w:t>, Agustus 2018.</w:t>
      </w:r>
    </w:p>
    <w:p w:rsidR="004C1CC5" w:rsidRPr="00427789" w:rsidRDefault="000217BF" w:rsidP="004C1CC5">
      <w:pPr>
        <w:tabs>
          <w:tab w:val="left" w:pos="567"/>
        </w:tabs>
        <w:ind w:left="567" w:hanging="567"/>
        <w:jc w:val="both"/>
        <w:rPr>
          <w:sz w:val="18"/>
          <w:szCs w:val="18"/>
        </w:rPr>
      </w:pPr>
      <w:r w:rsidRPr="00427789">
        <w:rPr>
          <w:sz w:val="18"/>
          <w:szCs w:val="18"/>
        </w:rPr>
        <w:t xml:space="preserve"> </w:t>
      </w:r>
      <w:r w:rsidR="004C1CC5" w:rsidRPr="00427789">
        <w:rPr>
          <w:sz w:val="18"/>
          <w:szCs w:val="18"/>
        </w:rPr>
        <w:t>[</w:t>
      </w:r>
      <w:r>
        <w:rPr>
          <w:sz w:val="18"/>
          <w:szCs w:val="18"/>
        </w:rPr>
        <w:t>5</w:t>
      </w:r>
      <w:r w:rsidR="004C1CC5" w:rsidRPr="00427789">
        <w:rPr>
          <w:sz w:val="18"/>
          <w:szCs w:val="18"/>
        </w:rPr>
        <w:t xml:space="preserve">]  </w:t>
      </w:r>
      <w:r w:rsidR="004C1CC5" w:rsidRPr="00427789">
        <w:rPr>
          <w:sz w:val="18"/>
          <w:szCs w:val="18"/>
        </w:rPr>
        <w:tab/>
        <w:t xml:space="preserve">Kementerian Energi dan Sumber Daya Mineral Republik Indonesia, </w:t>
      </w:r>
      <w:r w:rsidR="004C1CC5" w:rsidRPr="004C1CC5">
        <w:rPr>
          <w:i/>
          <w:sz w:val="18"/>
          <w:szCs w:val="18"/>
        </w:rPr>
        <w:t>Siaran Pers Nomor: 47/SJI/2015</w:t>
      </w:r>
      <w:r w:rsidR="004C1CC5" w:rsidRPr="00427789">
        <w:rPr>
          <w:sz w:val="18"/>
          <w:szCs w:val="18"/>
        </w:rPr>
        <w:t xml:space="preserve">, </w:t>
      </w:r>
      <w:r w:rsidR="004C1CC5" w:rsidRPr="004C1CC5">
        <w:rPr>
          <w:i/>
          <w:sz w:val="18"/>
          <w:szCs w:val="18"/>
        </w:rPr>
        <w:t>Menteri ESDM: Integrasi Hulu dan Hilir Industri Bioenergi akan</w:t>
      </w:r>
      <w:r w:rsidR="004C1CC5" w:rsidRPr="00427789">
        <w:rPr>
          <w:sz w:val="18"/>
          <w:szCs w:val="18"/>
        </w:rPr>
        <w:t xml:space="preserve"> </w:t>
      </w:r>
      <w:r w:rsidR="004C1CC5" w:rsidRPr="004C1CC5">
        <w:rPr>
          <w:i/>
          <w:sz w:val="18"/>
          <w:szCs w:val="18"/>
        </w:rPr>
        <w:t>Terwujud</w:t>
      </w:r>
      <w:r w:rsidR="004C1CC5" w:rsidRPr="00427789">
        <w:rPr>
          <w:sz w:val="18"/>
          <w:szCs w:val="18"/>
        </w:rPr>
        <w:t>, 13 Juli 2015.</w:t>
      </w:r>
    </w:p>
    <w:p w:rsidR="004C1CC5" w:rsidRPr="00427789" w:rsidRDefault="004C1CC5" w:rsidP="004C1CC5">
      <w:pPr>
        <w:tabs>
          <w:tab w:val="left" w:pos="567"/>
        </w:tabs>
        <w:ind w:left="567" w:hanging="567"/>
        <w:jc w:val="both"/>
        <w:rPr>
          <w:sz w:val="18"/>
          <w:szCs w:val="18"/>
        </w:rPr>
      </w:pPr>
      <w:r w:rsidRPr="00427789">
        <w:rPr>
          <w:sz w:val="18"/>
          <w:szCs w:val="18"/>
        </w:rPr>
        <w:t>[</w:t>
      </w:r>
      <w:r w:rsidR="000217BF">
        <w:rPr>
          <w:sz w:val="18"/>
          <w:szCs w:val="18"/>
        </w:rPr>
        <w:t>6</w:t>
      </w:r>
      <w:r w:rsidRPr="00427789">
        <w:rPr>
          <w:sz w:val="18"/>
          <w:szCs w:val="18"/>
        </w:rPr>
        <w:t xml:space="preserve">] </w:t>
      </w:r>
      <w:r w:rsidRPr="00427789">
        <w:rPr>
          <w:sz w:val="18"/>
          <w:szCs w:val="18"/>
        </w:rPr>
        <w:tab/>
        <w:t xml:space="preserve">Harian Kompas, Energi Terbarukan, </w:t>
      </w:r>
      <w:r w:rsidRPr="004C1CC5">
        <w:rPr>
          <w:i/>
          <w:sz w:val="18"/>
          <w:szCs w:val="18"/>
        </w:rPr>
        <w:t>Target Bauran Energi</w:t>
      </w:r>
      <w:r w:rsidRPr="00427789">
        <w:rPr>
          <w:sz w:val="18"/>
          <w:szCs w:val="18"/>
        </w:rPr>
        <w:t xml:space="preserve"> </w:t>
      </w:r>
      <w:r w:rsidRPr="004C1CC5">
        <w:rPr>
          <w:i/>
          <w:sz w:val="18"/>
          <w:szCs w:val="18"/>
        </w:rPr>
        <w:t>Diperkirakan Meleset</w:t>
      </w:r>
      <w:r w:rsidRPr="00427789">
        <w:rPr>
          <w:sz w:val="18"/>
          <w:szCs w:val="18"/>
        </w:rPr>
        <w:t>, 20 September 2017.</w:t>
      </w:r>
    </w:p>
    <w:p w:rsidR="004C1CC5" w:rsidRPr="00427789" w:rsidRDefault="004C1CC5" w:rsidP="004C1CC5">
      <w:pPr>
        <w:tabs>
          <w:tab w:val="left" w:pos="567"/>
        </w:tabs>
        <w:ind w:left="567" w:hanging="567"/>
        <w:jc w:val="both"/>
        <w:rPr>
          <w:sz w:val="18"/>
          <w:szCs w:val="18"/>
        </w:rPr>
      </w:pPr>
      <w:r w:rsidRPr="00427789">
        <w:rPr>
          <w:sz w:val="18"/>
          <w:szCs w:val="18"/>
        </w:rPr>
        <w:t>[</w:t>
      </w:r>
      <w:r w:rsidR="000217BF">
        <w:rPr>
          <w:sz w:val="18"/>
          <w:szCs w:val="18"/>
        </w:rPr>
        <w:t>7</w:t>
      </w:r>
      <w:r w:rsidRPr="00427789">
        <w:rPr>
          <w:sz w:val="18"/>
          <w:szCs w:val="18"/>
        </w:rPr>
        <w:t xml:space="preserve">] </w:t>
      </w:r>
      <w:r w:rsidRPr="00427789">
        <w:rPr>
          <w:sz w:val="18"/>
          <w:szCs w:val="18"/>
        </w:rPr>
        <w:tab/>
        <w:t xml:space="preserve">Direktorat Jenderal Energi Baru, Terbarukan dan </w:t>
      </w:r>
      <w:r w:rsidRPr="004C1CC5">
        <w:rPr>
          <w:i/>
          <w:sz w:val="18"/>
          <w:szCs w:val="18"/>
        </w:rPr>
        <w:t>Konservasi Energi, Statistik EBTKE 2016</w:t>
      </w:r>
      <w:r w:rsidRPr="00427789">
        <w:rPr>
          <w:sz w:val="18"/>
          <w:szCs w:val="18"/>
        </w:rPr>
        <w:t>, Desember 2016.</w:t>
      </w:r>
    </w:p>
    <w:p w:rsidR="004C1CC5" w:rsidRPr="00427789" w:rsidRDefault="004C1CC5" w:rsidP="004C1CC5">
      <w:pPr>
        <w:tabs>
          <w:tab w:val="left" w:pos="567"/>
        </w:tabs>
        <w:ind w:left="567" w:hanging="567"/>
        <w:jc w:val="both"/>
        <w:rPr>
          <w:sz w:val="18"/>
          <w:szCs w:val="18"/>
        </w:rPr>
      </w:pPr>
      <w:r w:rsidRPr="00427789">
        <w:rPr>
          <w:sz w:val="18"/>
          <w:szCs w:val="18"/>
        </w:rPr>
        <w:t>[</w:t>
      </w:r>
      <w:r w:rsidR="000217BF">
        <w:rPr>
          <w:sz w:val="18"/>
          <w:szCs w:val="18"/>
        </w:rPr>
        <w:t>8</w:t>
      </w:r>
      <w:r w:rsidRPr="00427789">
        <w:rPr>
          <w:sz w:val="18"/>
          <w:szCs w:val="18"/>
        </w:rPr>
        <w:t xml:space="preserve">] </w:t>
      </w:r>
      <w:r w:rsidRPr="00427789">
        <w:rPr>
          <w:sz w:val="18"/>
          <w:szCs w:val="18"/>
        </w:rPr>
        <w:tab/>
        <w:t xml:space="preserve">Kementerian Energi dan Sumber Daya Mineral, Direktorat Jenderal Energi Baru Terbarukan dan Konservasi Energi, </w:t>
      </w:r>
      <w:r w:rsidRPr="004C1CC5">
        <w:rPr>
          <w:i/>
          <w:sz w:val="18"/>
          <w:szCs w:val="18"/>
        </w:rPr>
        <w:t>Regulasi dan Kebijakan Pengembangan Energi</w:t>
      </w:r>
      <w:r w:rsidRPr="00427789">
        <w:rPr>
          <w:sz w:val="18"/>
          <w:szCs w:val="18"/>
        </w:rPr>
        <w:t xml:space="preserve"> </w:t>
      </w:r>
      <w:r w:rsidRPr="004C1CC5">
        <w:rPr>
          <w:i/>
          <w:sz w:val="18"/>
          <w:szCs w:val="18"/>
        </w:rPr>
        <w:t>Terbarukan</w:t>
      </w:r>
      <w:r w:rsidRPr="00427789">
        <w:rPr>
          <w:sz w:val="18"/>
          <w:szCs w:val="18"/>
        </w:rPr>
        <w:t>, presentasi disampaikan pada FGD Hari Pers Nasional di Padang, 30 Januari 2018.</w:t>
      </w:r>
    </w:p>
    <w:p w:rsidR="004C1CC5" w:rsidRPr="00427789" w:rsidRDefault="004C1CC5" w:rsidP="004C1CC5">
      <w:pPr>
        <w:tabs>
          <w:tab w:val="left" w:pos="567"/>
        </w:tabs>
        <w:ind w:left="567" w:hanging="567"/>
        <w:jc w:val="both"/>
        <w:rPr>
          <w:sz w:val="18"/>
          <w:szCs w:val="18"/>
        </w:rPr>
      </w:pPr>
      <w:r w:rsidRPr="00427789">
        <w:rPr>
          <w:sz w:val="18"/>
          <w:szCs w:val="18"/>
        </w:rPr>
        <w:t>[</w:t>
      </w:r>
      <w:r w:rsidR="000217BF">
        <w:rPr>
          <w:sz w:val="18"/>
          <w:szCs w:val="18"/>
        </w:rPr>
        <w:t>9</w:t>
      </w:r>
      <w:r w:rsidRPr="00427789">
        <w:rPr>
          <w:sz w:val="18"/>
          <w:szCs w:val="18"/>
        </w:rPr>
        <w:t xml:space="preserve">] </w:t>
      </w:r>
      <w:r w:rsidRPr="00427789">
        <w:rPr>
          <w:sz w:val="18"/>
          <w:szCs w:val="18"/>
        </w:rPr>
        <w:tab/>
        <w:t>Kementerian Energi dan Sumber Da</w:t>
      </w:r>
      <w:r>
        <w:rPr>
          <w:sz w:val="18"/>
          <w:szCs w:val="18"/>
        </w:rPr>
        <w:t xml:space="preserve">ya Mineral Republik Indonesia, </w:t>
      </w:r>
      <w:r w:rsidRPr="004C1CC5">
        <w:rPr>
          <w:i/>
          <w:sz w:val="18"/>
          <w:szCs w:val="18"/>
        </w:rPr>
        <w:t>EnergiBerkeadilan, Hasil kerja 2017 dan</w:t>
      </w:r>
      <w:r w:rsidRPr="00427789">
        <w:rPr>
          <w:sz w:val="18"/>
          <w:szCs w:val="18"/>
        </w:rPr>
        <w:t xml:space="preserve"> </w:t>
      </w:r>
      <w:r w:rsidRPr="004C1CC5">
        <w:rPr>
          <w:i/>
          <w:sz w:val="18"/>
          <w:szCs w:val="18"/>
        </w:rPr>
        <w:t>Semester-I 2018</w:t>
      </w:r>
      <w:r w:rsidRPr="00427789">
        <w:rPr>
          <w:sz w:val="18"/>
          <w:szCs w:val="18"/>
        </w:rPr>
        <w:t>, Version 2.0, Publikasi Juli 2018.</w:t>
      </w:r>
    </w:p>
    <w:p w:rsidR="004C1CC5" w:rsidRPr="00427789" w:rsidRDefault="004C1CC5" w:rsidP="004C1CC5">
      <w:pPr>
        <w:tabs>
          <w:tab w:val="left" w:pos="567"/>
        </w:tabs>
        <w:ind w:left="567" w:hanging="567"/>
        <w:jc w:val="both"/>
        <w:rPr>
          <w:sz w:val="18"/>
          <w:szCs w:val="18"/>
        </w:rPr>
      </w:pPr>
      <w:r w:rsidRPr="00427789">
        <w:rPr>
          <w:sz w:val="18"/>
          <w:szCs w:val="18"/>
        </w:rPr>
        <w:t>[1</w:t>
      </w:r>
      <w:r w:rsidR="000217BF">
        <w:rPr>
          <w:sz w:val="18"/>
          <w:szCs w:val="18"/>
        </w:rPr>
        <w:t>0</w:t>
      </w:r>
      <w:r w:rsidRPr="00427789">
        <w:rPr>
          <w:sz w:val="18"/>
          <w:szCs w:val="18"/>
        </w:rPr>
        <w:t xml:space="preserve">] </w:t>
      </w:r>
      <w:r w:rsidRPr="00427789">
        <w:rPr>
          <w:sz w:val="18"/>
          <w:szCs w:val="18"/>
        </w:rPr>
        <w:tab/>
      </w:r>
      <w:r w:rsidRPr="004C1CC5">
        <w:rPr>
          <w:i/>
          <w:sz w:val="18"/>
          <w:szCs w:val="18"/>
        </w:rPr>
        <w:t>Keputusan Menteri Energi dan Sumber Daya Mineral Republik Indonesia Nomor 1567 K/21/MEM/2018 Tentang Pengesahan Rencana Usaha Penyediaan Tenaga Listrik PT Perusahaan Listrik Negara (Persero) Tahun</w:t>
      </w:r>
      <w:r w:rsidRPr="00427789">
        <w:rPr>
          <w:sz w:val="18"/>
          <w:szCs w:val="18"/>
        </w:rPr>
        <w:t xml:space="preserve"> </w:t>
      </w:r>
      <w:r w:rsidRPr="004C1CC5">
        <w:rPr>
          <w:i/>
          <w:sz w:val="18"/>
          <w:szCs w:val="18"/>
        </w:rPr>
        <w:t>2018 S.D.</w:t>
      </w:r>
      <w:r w:rsidRPr="00427789">
        <w:rPr>
          <w:sz w:val="18"/>
          <w:szCs w:val="18"/>
        </w:rPr>
        <w:t xml:space="preserve"> </w:t>
      </w:r>
      <w:r w:rsidRPr="004C1CC5">
        <w:rPr>
          <w:i/>
          <w:sz w:val="18"/>
          <w:szCs w:val="18"/>
        </w:rPr>
        <w:t>2027</w:t>
      </w:r>
      <w:r w:rsidRPr="00427789">
        <w:rPr>
          <w:sz w:val="18"/>
          <w:szCs w:val="18"/>
        </w:rPr>
        <w:t>, 13 Maret 2018.</w:t>
      </w:r>
    </w:p>
    <w:p w:rsidR="004C1CC5" w:rsidRPr="00427789" w:rsidRDefault="004C1CC5" w:rsidP="000217BF">
      <w:pPr>
        <w:tabs>
          <w:tab w:val="left" w:pos="567"/>
        </w:tabs>
        <w:ind w:left="567" w:hanging="567"/>
        <w:jc w:val="both"/>
        <w:rPr>
          <w:sz w:val="18"/>
          <w:szCs w:val="18"/>
        </w:rPr>
      </w:pPr>
      <w:r w:rsidRPr="00427789">
        <w:rPr>
          <w:sz w:val="18"/>
          <w:szCs w:val="18"/>
        </w:rPr>
        <w:t>[1</w:t>
      </w:r>
      <w:r w:rsidR="000217BF">
        <w:rPr>
          <w:sz w:val="18"/>
          <w:szCs w:val="18"/>
        </w:rPr>
        <w:t>1</w:t>
      </w:r>
      <w:r w:rsidRPr="00427789">
        <w:rPr>
          <w:sz w:val="18"/>
          <w:szCs w:val="18"/>
        </w:rPr>
        <w:t xml:space="preserve">] </w:t>
      </w:r>
      <w:r w:rsidRPr="00427789">
        <w:rPr>
          <w:sz w:val="18"/>
          <w:szCs w:val="18"/>
        </w:rPr>
        <w:tab/>
      </w:r>
      <w:r w:rsidRPr="004C1CC5">
        <w:rPr>
          <w:i/>
          <w:sz w:val="18"/>
          <w:szCs w:val="18"/>
        </w:rPr>
        <w:t xml:space="preserve">Peraturan Menteri Energi dan Sumber Daya Mineral Republik Indonesia Nomor 41 Tahun 2018 Tentang Penyediaan dan Pemanfaatan Bahan Bakar Nabati Jenis Biodiesel Dalam Kerangka Pembiayaan Oleh Badan </w:t>
      </w:r>
      <w:r w:rsidRPr="004C1CC5">
        <w:rPr>
          <w:i/>
          <w:sz w:val="18"/>
          <w:szCs w:val="18"/>
        </w:rPr>
        <w:t>Pengelola Dana Perkebunan Kelapa Sawit</w:t>
      </w:r>
      <w:r w:rsidRPr="00427789">
        <w:rPr>
          <w:sz w:val="18"/>
          <w:szCs w:val="18"/>
        </w:rPr>
        <w:t>, 23 Agustus 2018.</w:t>
      </w:r>
    </w:p>
    <w:p w:rsidR="004C1CC5" w:rsidRPr="00427789" w:rsidRDefault="004C1CC5" w:rsidP="004C1CC5">
      <w:pPr>
        <w:tabs>
          <w:tab w:val="left" w:pos="567"/>
        </w:tabs>
        <w:ind w:left="567" w:hanging="567"/>
        <w:jc w:val="both"/>
        <w:rPr>
          <w:sz w:val="18"/>
          <w:szCs w:val="18"/>
        </w:rPr>
      </w:pPr>
      <w:r w:rsidRPr="00427789">
        <w:rPr>
          <w:sz w:val="18"/>
          <w:szCs w:val="18"/>
        </w:rPr>
        <w:t>[</w:t>
      </w:r>
      <w:r w:rsidR="005B12CF">
        <w:rPr>
          <w:sz w:val="18"/>
          <w:szCs w:val="18"/>
        </w:rPr>
        <w:t>1</w:t>
      </w:r>
      <w:r w:rsidRPr="00427789">
        <w:rPr>
          <w:sz w:val="18"/>
          <w:szCs w:val="18"/>
        </w:rPr>
        <w:t xml:space="preserve">2]  </w:t>
      </w:r>
      <w:r w:rsidRPr="00427789">
        <w:rPr>
          <w:sz w:val="18"/>
          <w:szCs w:val="18"/>
        </w:rPr>
        <w:tab/>
        <w:t>Badan Pusat Statistik Provinsi Jawa Barat, Provinsi Jawa Barat Dalam Angka 2018, Katalog: 1102001.32, Agustus 2018.</w:t>
      </w:r>
    </w:p>
    <w:p w:rsidR="004C1CC5" w:rsidRPr="00427789" w:rsidRDefault="004C1CC5" w:rsidP="004C1CC5">
      <w:pPr>
        <w:tabs>
          <w:tab w:val="left" w:pos="567"/>
        </w:tabs>
        <w:ind w:left="567" w:hanging="567"/>
        <w:jc w:val="both"/>
        <w:rPr>
          <w:sz w:val="18"/>
          <w:szCs w:val="18"/>
        </w:rPr>
      </w:pPr>
    </w:p>
    <w:p w:rsidR="004C1CC5" w:rsidRPr="00427789" w:rsidRDefault="005B12CF" w:rsidP="004C1CC5">
      <w:pPr>
        <w:tabs>
          <w:tab w:val="left" w:pos="567"/>
        </w:tabs>
        <w:ind w:left="567" w:hanging="567"/>
        <w:jc w:val="both"/>
        <w:rPr>
          <w:sz w:val="18"/>
          <w:szCs w:val="18"/>
        </w:rPr>
      </w:pPr>
      <w:r>
        <w:rPr>
          <w:sz w:val="18"/>
          <w:szCs w:val="18"/>
        </w:rPr>
        <w:t>[1</w:t>
      </w:r>
      <w:r w:rsidR="004C1CC5" w:rsidRPr="00427789">
        <w:rPr>
          <w:sz w:val="18"/>
          <w:szCs w:val="18"/>
        </w:rPr>
        <w:t xml:space="preserve">3]  </w:t>
      </w:r>
      <w:r w:rsidR="004C1CC5" w:rsidRPr="00427789">
        <w:rPr>
          <w:sz w:val="18"/>
          <w:szCs w:val="18"/>
        </w:rPr>
        <w:tab/>
        <w:t>Badan Pusat Statistik Provinsi Jawa Barat, Statistik Perumahan Provinsi Jawa Barat 2017. Katalog: 3303002.32, September 2018.</w:t>
      </w:r>
    </w:p>
    <w:p w:rsidR="004C1CC5" w:rsidRPr="00427789" w:rsidRDefault="005B12CF" w:rsidP="004C1CC5">
      <w:pPr>
        <w:tabs>
          <w:tab w:val="left" w:pos="567"/>
        </w:tabs>
        <w:ind w:left="567" w:hanging="567"/>
        <w:jc w:val="both"/>
        <w:rPr>
          <w:sz w:val="18"/>
          <w:szCs w:val="18"/>
        </w:rPr>
      </w:pPr>
      <w:r>
        <w:rPr>
          <w:sz w:val="18"/>
          <w:szCs w:val="18"/>
        </w:rPr>
        <w:t>[1</w:t>
      </w:r>
      <w:r w:rsidR="004C1CC5" w:rsidRPr="00427789">
        <w:rPr>
          <w:sz w:val="18"/>
          <w:szCs w:val="18"/>
        </w:rPr>
        <w:t>4]</w:t>
      </w:r>
      <w:r w:rsidR="004C1CC5" w:rsidRPr="00427789">
        <w:rPr>
          <w:sz w:val="18"/>
          <w:szCs w:val="18"/>
        </w:rPr>
        <w:tab/>
        <w:t xml:space="preserve">Syafrina Syaaf, Pengguna kayu bakar untuk memasak masih tinggi di Indonesia, 06 Mei 2018, diakses melalui </w:t>
      </w:r>
      <w:hyperlink r:id="rId16" w:history="1">
        <w:r w:rsidR="004C1CC5" w:rsidRPr="00427789">
          <w:rPr>
            <w:rStyle w:val="Hyperlink"/>
            <w:sz w:val="18"/>
            <w:szCs w:val="18"/>
          </w:rPr>
          <w:t>http://beritagar.id/artikel/gaya-hidup/pengguna-kayu-bakar-untuk-memasak-masih-timggi-di-indonesia</w:t>
        </w:r>
      </w:hyperlink>
      <w:r w:rsidR="004C1CC5" w:rsidRPr="00427789">
        <w:rPr>
          <w:sz w:val="18"/>
          <w:szCs w:val="18"/>
        </w:rPr>
        <w:t>.</w:t>
      </w:r>
    </w:p>
    <w:p w:rsidR="004C1CC5" w:rsidRPr="00427789" w:rsidRDefault="005B12CF" w:rsidP="004C1CC5">
      <w:pPr>
        <w:tabs>
          <w:tab w:val="left" w:pos="567"/>
        </w:tabs>
        <w:ind w:left="567" w:hanging="567"/>
        <w:jc w:val="both"/>
        <w:rPr>
          <w:sz w:val="18"/>
          <w:szCs w:val="18"/>
        </w:rPr>
      </w:pPr>
      <w:r>
        <w:rPr>
          <w:sz w:val="18"/>
          <w:szCs w:val="18"/>
        </w:rPr>
        <w:t>[1</w:t>
      </w:r>
      <w:r w:rsidR="004C1CC5" w:rsidRPr="00427789">
        <w:rPr>
          <w:sz w:val="18"/>
          <w:szCs w:val="18"/>
        </w:rPr>
        <w:t xml:space="preserve">5]  </w:t>
      </w:r>
      <w:r w:rsidR="004C1CC5" w:rsidRPr="00427789">
        <w:rPr>
          <w:sz w:val="18"/>
          <w:szCs w:val="18"/>
        </w:rPr>
        <w:tab/>
        <w:t>Badan Pusat Statistik, Beranda Lingkungan Hidup, “Persentase Rumah Tangga Menurut Provinsi dan Bahan Bakar Utama Untuk Memasak Tahun 2001, 2007-2016, 14 Nov 2017.</w:t>
      </w:r>
    </w:p>
    <w:p w:rsidR="004C1CC5" w:rsidRPr="00427789" w:rsidRDefault="005B12CF" w:rsidP="004C1CC5">
      <w:pPr>
        <w:tabs>
          <w:tab w:val="left" w:pos="567"/>
        </w:tabs>
        <w:ind w:left="567" w:hanging="567"/>
        <w:jc w:val="both"/>
        <w:rPr>
          <w:sz w:val="18"/>
          <w:szCs w:val="18"/>
        </w:rPr>
      </w:pPr>
      <w:r>
        <w:rPr>
          <w:sz w:val="18"/>
          <w:szCs w:val="18"/>
        </w:rPr>
        <w:t>[1</w:t>
      </w:r>
      <w:r w:rsidR="004C1CC5" w:rsidRPr="00427789">
        <w:rPr>
          <w:sz w:val="18"/>
          <w:szCs w:val="18"/>
        </w:rPr>
        <w:t>6]</w:t>
      </w:r>
      <w:r w:rsidR="004C1CC5" w:rsidRPr="00427789">
        <w:rPr>
          <w:sz w:val="18"/>
          <w:szCs w:val="18"/>
        </w:rPr>
        <w:tab/>
        <w:t>Direktorat Jenderal Energi Baru, Terbarukan dan Konservasi Energi, Kementerian Energi dan Sumber Daya Mineral, Buku Statistik EBTKE 2015, Desember 2015.</w:t>
      </w:r>
    </w:p>
    <w:p w:rsidR="004C1CC5" w:rsidRPr="00427789" w:rsidRDefault="005B12CF" w:rsidP="004C1CC5">
      <w:pPr>
        <w:tabs>
          <w:tab w:val="left" w:pos="567"/>
        </w:tabs>
        <w:ind w:left="567" w:hanging="567"/>
        <w:jc w:val="both"/>
        <w:rPr>
          <w:sz w:val="18"/>
          <w:szCs w:val="18"/>
        </w:rPr>
      </w:pPr>
      <w:r>
        <w:rPr>
          <w:sz w:val="18"/>
          <w:szCs w:val="18"/>
        </w:rPr>
        <w:t>[1</w:t>
      </w:r>
      <w:r w:rsidR="004C1CC5" w:rsidRPr="00427789">
        <w:rPr>
          <w:sz w:val="18"/>
          <w:szCs w:val="18"/>
        </w:rPr>
        <w:t xml:space="preserve">7]  </w:t>
      </w:r>
      <w:r w:rsidR="004C1CC5" w:rsidRPr="00427789">
        <w:rPr>
          <w:sz w:val="18"/>
          <w:szCs w:val="18"/>
        </w:rPr>
        <w:tab/>
        <w:t xml:space="preserve">Perhutani, Berita &amp; Press Release, “Penggunaan Kayu Bakar Terus Meningkat, 2 April 2012,” diakses melalui http://www.perhutani.co.id/2012/04/penggunaan-kayu-bakar-terus-meningkat/. </w:t>
      </w:r>
    </w:p>
    <w:p w:rsidR="004C1CC5" w:rsidRPr="00427789" w:rsidRDefault="005B12CF" w:rsidP="004C1CC5">
      <w:pPr>
        <w:tabs>
          <w:tab w:val="left" w:pos="567"/>
        </w:tabs>
        <w:ind w:left="567" w:hanging="567"/>
        <w:jc w:val="both"/>
        <w:rPr>
          <w:sz w:val="18"/>
          <w:szCs w:val="18"/>
        </w:rPr>
      </w:pPr>
      <w:r>
        <w:rPr>
          <w:sz w:val="18"/>
          <w:szCs w:val="18"/>
        </w:rPr>
        <w:t>[1</w:t>
      </w:r>
      <w:r w:rsidR="004C1CC5" w:rsidRPr="00427789">
        <w:rPr>
          <w:sz w:val="18"/>
          <w:szCs w:val="18"/>
        </w:rPr>
        <w:t xml:space="preserve">8]  </w:t>
      </w:r>
      <w:r w:rsidR="004C1CC5" w:rsidRPr="00427789">
        <w:rPr>
          <w:sz w:val="18"/>
          <w:szCs w:val="18"/>
        </w:rPr>
        <w:tab/>
        <w:t>Hasil Pengembangan Biogas Di Provinsi Jawa Barat Tahun 2006-2015.</w:t>
      </w:r>
    </w:p>
    <w:p w:rsidR="004C1CC5" w:rsidRPr="00427789" w:rsidRDefault="005B12CF" w:rsidP="004C1CC5">
      <w:pPr>
        <w:tabs>
          <w:tab w:val="left" w:pos="567"/>
        </w:tabs>
        <w:ind w:left="567" w:hanging="567"/>
        <w:jc w:val="both"/>
        <w:rPr>
          <w:sz w:val="18"/>
          <w:szCs w:val="18"/>
        </w:rPr>
      </w:pPr>
      <w:r>
        <w:rPr>
          <w:sz w:val="18"/>
          <w:szCs w:val="18"/>
        </w:rPr>
        <w:t>[1</w:t>
      </w:r>
      <w:r w:rsidR="004C1CC5" w:rsidRPr="00427789">
        <w:rPr>
          <w:sz w:val="18"/>
          <w:szCs w:val="18"/>
        </w:rPr>
        <w:t xml:space="preserve">9]  </w:t>
      </w:r>
      <w:r w:rsidR="004C1CC5" w:rsidRPr="00427789">
        <w:rPr>
          <w:sz w:val="18"/>
          <w:szCs w:val="18"/>
        </w:rPr>
        <w:tab/>
        <w:t>Wiwien Widaningsih, Partisipasi Masyarakat Melalui Desa Mandiri Energi Berbasis Biogas Limbah Ternak Sapi Di Desa Haurngombong Kecamatan Pamulihan Kabupaten Sumedang, Jurnal Ilmu Administrasi, Volume XI, Nomor 1, April 2014.</w:t>
      </w:r>
    </w:p>
    <w:p w:rsidR="004C1CC5" w:rsidRPr="00533656" w:rsidRDefault="005B12CF" w:rsidP="004C1CC5">
      <w:pPr>
        <w:tabs>
          <w:tab w:val="left" w:pos="567"/>
        </w:tabs>
        <w:ind w:left="567" w:hanging="567"/>
        <w:jc w:val="both"/>
        <w:rPr>
          <w:color w:val="0D0D0D"/>
          <w:sz w:val="18"/>
          <w:szCs w:val="18"/>
        </w:rPr>
      </w:pPr>
      <w:r>
        <w:rPr>
          <w:sz w:val="18"/>
          <w:szCs w:val="18"/>
        </w:rPr>
        <w:t>[2</w:t>
      </w:r>
      <w:r w:rsidR="004C1CC5" w:rsidRPr="00427789">
        <w:rPr>
          <w:sz w:val="18"/>
          <w:szCs w:val="18"/>
        </w:rPr>
        <w:t xml:space="preserve">0]  </w:t>
      </w:r>
      <w:r w:rsidR="004C1CC5" w:rsidRPr="00427789">
        <w:rPr>
          <w:sz w:val="18"/>
          <w:szCs w:val="18"/>
        </w:rPr>
        <w:tab/>
      </w:r>
      <w:r w:rsidR="004C1CC5" w:rsidRPr="00533656">
        <w:rPr>
          <w:color w:val="0D0D0D"/>
          <w:sz w:val="18"/>
          <w:szCs w:val="18"/>
        </w:rPr>
        <w:t>Adang Agustian dan Supena Friyatno, Prospek Pengembangan Biogas Dari Kotoran Ternak Mendukung Sistem Pertanian-Bioindustri Di Provinsi Jawa Barat, Prosiding Seminar Nasional Hari Pangan Sedunia Ke-34: Pertanian-Bioindustri Berbasis Pangan Lokal Potensial,  4 November 2014.</w:t>
      </w:r>
    </w:p>
    <w:p w:rsidR="004C1CC5" w:rsidRPr="00533656" w:rsidRDefault="005B12CF" w:rsidP="004C1CC5">
      <w:pPr>
        <w:tabs>
          <w:tab w:val="left" w:pos="567"/>
        </w:tabs>
        <w:ind w:left="567" w:hanging="567"/>
        <w:jc w:val="both"/>
        <w:rPr>
          <w:color w:val="0D0D0D"/>
          <w:sz w:val="18"/>
          <w:szCs w:val="18"/>
        </w:rPr>
      </w:pPr>
      <w:r>
        <w:rPr>
          <w:color w:val="0D0D0D"/>
          <w:sz w:val="18"/>
          <w:szCs w:val="18"/>
        </w:rPr>
        <w:t>[2</w:t>
      </w:r>
      <w:r w:rsidR="004C1CC5" w:rsidRPr="00533656">
        <w:rPr>
          <w:color w:val="0D0D0D"/>
          <w:sz w:val="18"/>
          <w:szCs w:val="18"/>
        </w:rPr>
        <w:t xml:space="preserve">1]  </w:t>
      </w:r>
      <w:r w:rsidR="004C1CC5" w:rsidRPr="00533656">
        <w:rPr>
          <w:color w:val="0D0D0D"/>
          <w:sz w:val="18"/>
          <w:szCs w:val="18"/>
        </w:rPr>
        <w:tab/>
        <w:t xml:space="preserve">Program kerja sama antara Kementerian ESDM-Direktorat Jenderal Energi Baru Terbarukan dan Konservasi Energi-Direktorat bioenergy-dan Bank Dunia-Clean Stove Initiative-dan Yayasan Dian Desa, Program Tungku Sehat Hemat Energi Biomassa (TSHE) – Indonesia, diakses melalui </w:t>
      </w:r>
      <w:hyperlink r:id="rId17" w:history="1">
        <w:r w:rsidR="004C1CC5" w:rsidRPr="00533656">
          <w:rPr>
            <w:rStyle w:val="Hyperlink"/>
            <w:color w:val="056AD0"/>
            <w:sz w:val="18"/>
            <w:szCs w:val="18"/>
          </w:rPr>
          <w:t>www.tungkuindonesia.org</w:t>
        </w:r>
      </w:hyperlink>
      <w:r w:rsidR="004C1CC5" w:rsidRPr="00533656">
        <w:rPr>
          <w:color w:val="0D0D0D"/>
          <w:sz w:val="18"/>
          <w:szCs w:val="18"/>
        </w:rPr>
        <w:t xml:space="preserve"> atau </w:t>
      </w:r>
      <w:hyperlink r:id="rId18" w:history="1">
        <w:r w:rsidR="004C1CC5" w:rsidRPr="00533656">
          <w:rPr>
            <w:rStyle w:val="Hyperlink"/>
            <w:color w:val="056AD0"/>
            <w:sz w:val="18"/>
            <w:szCs w:val="18"/>
          </w:rPr>
          <w:t>www.diandesa.org</w:t>
        </w:r>
      </w:hyperlink>
      <w:r w:rsidR="004C1CC5" w:rsidRPr="00533656">
        <w:rPr>
          <w:color w:val="0D0D0D"/>
          <w:sz w:val="18"/>
          <w:szCs w:val="18"/>
        </w:rPr>
        <w:t xml:space="preserve"> pada 5/11/2018.</w:t>
      </w:r>
    </w:p>
    <w:p w:rsidR="004C1CC5" w:rsidRPr="00533656" w:rsidRDefault="005B12CF" w:rsidP="004C1CC5">
      <w:pPr>
        <w:tabs>
          <w:tab w:val="left" w:pos="567"/>
        </w:tabs>
        <w:ind w:left="567" w:hanging="567"/>
        <w:jc w:val="both"/>
        <w:rPr>
          <w:color w:val="0D0D0D"/>
          <w:sz w:val="18"/>
          <w:szCs w:val="18"/>
        </w:rPr>
      </w:pPr>
      <w:r>
        <w:rPr>
          <w:color w:val="0D0D0D"/>
          <w:sz w:val="18"/>
          <w:szCs w:val="18"/>
        </w:rPr>
        <w:t>[2</w:t>
      </w:r>
      <w:r w:rsidR="004C1CC5" w:rsidRPr="00533656">
        <w:rPr>
          <w:color w:val="0D0D0D"/>
          <w:sz w:val="18"/>
          <w:szCs w:val="18"/>
        </w:rPr>
        <w:t xml:space="preserve">2]  </w:t>
      </w:r>
      <w:r w:rsidR="004C1CC5" w:rsidRPr="00533656">
        <w:rPr>
          <w:color w:val="0D0D0D"/>
          <w:sz w:val="18"/>
          <w:szCs w:val="18"/>
        </w:rPr>
        <w:tab/>
        <w:t>Andre R. Daud, Nilai Ekonomi Manfaat Biogas Pada Rumahtangga Peternak Sapi Perah: Survey di Desa Haungombong Kecamatan Pamulihan Kabupaten Sumedang, Sosiohumaniora, Volume 13, No. 3, November 2011: 243-250.</w:t>
      </w:r>
    </w:p>
    <w:p w:rsidR="004C1CC5" w:rsidRPr="00533656" w:rsidRDefault="005B12CF" w:rsidP="004C1CC5">
      <w:pPr>
        <w:tabs>
          <w:tab w:val="left" w:pos="567"/>
        </w:tabs>
        <w:ind w:left="567" w:hanging="567"/>
        <w:jc w:val="both"/>
        <w:rPr>
          <w:color w:val="0D0D0D"/>
          <w:sz w:val="18"/>
          <w:szCs w:val="18"/>
        </w:rPr>
      </w:pPr>
      <w:r>
        <w:rPr>
          <w:color w:val="0D0D0D"/>
          <w:sz w:val="18"/>
          <w:szCs w:val="18"/>
        </w:rPr>
        <w:t>[2</w:t>
      </w:r>
      <w:r w:rsidR="004C1CC5" w:rsidRPr="00533656">
        <w:rPr>
          <w:color w:val="0D0D0D"/>
          <w:sz w:val="18"/>
          <w:szCs w:val="18"/>
        </w:rPr>
        <w:t xml:space="preserve">3] </w:t>
      </w:r>
      <w:r w:rsidR="004C1CC5" w:rsidRPr="00533656">
        <w:rPr>
          <w:color w:val="0D0D0D"/>
          <w:sz w:val="18"/>
          <w:szCs w:val="18"/>
        </w:rPr>
        <w:tab/>
        <w:t xml:space="preserve">Kabupaten Sumedang, Profil Daerah, Strategi dan Kebijakan, Kabupaten Sumedang – Website Resmi Pemerintah Provinsi Jawa Barat, diakses melalui </w:t>
      </w:r>
      <w:hyperlink r:id="rId19" w:history="1">
        <w:r w:rsidR="004C1CC5" w:rsidRPr="00533656">
          <w:rPr>
            <w:rStyle w:val="Hyperlink"/>
            <w:color w:val="056AD0"/>
            <w:sz w:val="18"/>
            <w:szCs w:val="18"/>
          </w:rPr>
          <w:t>http://www1.jabarprov.go.id/index.php/pages/id/1051 pada 8/1/2018</w:t>
        </w:r>
      </w:hyperlink>
      <w:r w:rsidR="004C1CC5" w:rsidRPr="00533656">
        <w:rPr>
          <w:color w:val="0D0D0D"/>
          <w:sz w:val="18"/>
          <w:szCs w:val="18"/>
        </w:rPr>
        <w:t>.</w:t>
      </w:r>
    </w:p>
    <w:p w:rsidR="004C1CC5" w:rsidRPr="00533656" w:rsidRDefault="005B12CF" w:rsidP="005B12CF">
      <w:pPr>
        <w:tabs>
          <w:tab w:val="left" w:pos="567"/>
        </w:tabs>
        <w:ind w:left="567" w:hanging="567"/>
        <w:jc w:val="both"/>
        <w:rPr>
          <w:color w:val="0D0D0D"/>
          <w:sz w:val="18"/>
          <w:szCs w:val="18"/>
        </w:rPr>
      </w:pPr>
      <w:r>
        <w:rPr>
          <w:color w:val="0D0D0D"/>
          <w:sz w:val="18"/>
          <w:szCs w:val="18"/>
        </w:rPr>
        <w:t>[2</w:t>
      </w:r>
      <w:r w:rsidR="004C1CC5" w:rsidRPr="00533656">
        <w:rPr>
          <w:color w:val="0D0D0D"/>
          <w:sz w:val="18"/>
          <w:szCs w:val="18"/>
        </w:rPr>
        <w:t xml:space="preserve">4]  </w:t>
      </w:r>
      <w:r w:rsidR="004C1CC5" w:rsidRPr="00533656">
        <w:rPr>
          <w:color w:val="0D0D0D"/>
          <w:sz w:val="18"/>
          <w:szCs w:val="18"/>
        </w:rPr>
        <w:tab/>
        <w:t>Badan Pusat Statistik, “Statistik Potensi Desa Indonesia 2014,” Katalog BPS: 1105014, November 2014, beserta hasil olahan Bappeda Kabupaten Sumedang, 2017.</w:t>
      </w:r>
    </w:p>
    <w:p w:rsidR="004C1CC5" w:rsidRPr="00533656" w:rsidRDefault="004C1CC5" w:rsidP="005B12CF">
      <w:pPr>
        <w:tabs>
          <w:tab w:val="left" w:pos="567"/>
        </w:tabs>
        <w:ind w:left="567" w:hanging="567"/>
        <w:jc w:val="both"/>
        <w:rPr>
          <w:color w:val="0D0D0D"/>
          <w:sz w:val="18"/>
          <w:szCs w:val="18"/>
        </w:rPr>
      </w:pPr>
      <w:r w:rsidRPr="00533656">
        <w:rPr>
          <w:color w:val="0D0D0D"/>
          <w:sz w:val="18"/>
          <w:szCs w:val="18"/>
        </w:rPr>
        <w:t>[</w:t>
      </w:r>
      <w:r w:rsidR="005B12CF">
        <w:rPr>
          <w:color w:val="0D0D0D"/>
          <w:sz w:val="18"/>
          <w:szCs w:val="18"/>
        </w:rPr>
        <w:t>25</w:t>
      </w:r>
      <w:r w:rsidRPr="00533656">
        <w:rPr>
          <w:color w:val="0D0D0D"/>
          <w:sz w:val="18"/>
          <w:szCs w:val="18"/>
        </w:rPr>
        <w:t xml:space="preserve">]  </w:t>
      </w:r>
      <w:r w:rsidRPr="00533656">
        <w:rPr>
          <w:color w:val="0D0D0D"/>
          <w:sz w:val="18"/>
          <w:szCs w:val="18"/>
        </w:rPr>
        <w:tab/>
        <w:t>Badan Pusat Statistik Kabupaten Sumedang, Kabupaten Sumedang Dalam Angka 2018, Katalog BPS: 11002001.3211, Agustus 2018.</w:t>
      </w:r>
    </w:p>
    <w:p w:rsidR="004C1CC5" w:rsidRPr="00533656" w:rsidRDefault="004C1CC5" w:rsidP="004C1CC5">
      <w:pPr>
        <w:tabs>
          <w:tab w:val="left" w:pos="567"/>
        </w:tabs>
        <w:ind w:left="567" w:hanging="567"/>
        <w:jc w:val="both"/>
        <w:rPr>
          <w:color w:val="0D0D0D"/>
          <w:sz w:val="18"/>
          <w:szCs w:val="18"/>
        </w:rPr>
      </w:pPr>
      <w:r w:rsidRPr="00533656">
        <w:rPr>
          <w:color w:val="0D0D0D"/>
          <w:sz w:val="18"/>
          <w:szCs w:val="18"/>
        </w:rPr>
        <w:t>[</w:t>
      </w:r>
      <w:r w:rsidR="005B12CF">
        <w:rPr>
          <w:color w:val="0D0D0D"/>
          <w:sz w:val="18"/>
          <w:szCs w:val="18"/>
        </w:rPr>
        <w:t>26</w:t>
      </w:r>
      <w:r w:rsidRPr="00533656">
        <w:rPr>
          <w:color w:val="0D0D0D"/>
          <w:sz w:val="18"/>
          <w:szCs w:val="18"/>
        </w:rPr>
        <w:t xml:space="preserve">]  </w:t>
      </w:r>
      <w:r w:rsidRPr="00533656">
        <w:rPr>
          <w:color w:val="0D0D0D"/>
          <w:sz w:val="18"/>
          <w:szCs w:val="18"/>
        </w:rPr>
        <w:tab/>
        <w:t xml:space="preserve">Arsip Berita Media Center ESDM, Biogas Rumah, Olah Limbah Jadi Berkah, 17 Oktober 2018, diakses melalui </w:t>
      </w:r>
      <w:hyperlink r:id="rId20" w:history="1">
        <w:r w:rsidRPr="00533656">
          <w:rPr>
            <w:rStyle w:val="Hyperlink"/>
            <w:color w:val="056AD0"/>
            <w:sz w:val="18"/>
            <w:szCs w:val="18"/>
          </w:rPr>
          <w:t>https://www.esdm.go.id/id/media-center/arsip-berita/biogas-rumah-olah-limbah-jadi-berkah pada 10/31/2018</w:t>
        </w:r>
      </w:hyperlink>
      <w:r w:rsidRPr="00533656">
        <w:rPr>
          <w:color w:val="0D0D0D"/>
          <w:sz w:val="18"/>
          <w:szCs w:val="18"/>
        </w:rPr>
        <w:t>.</w:t>
      </w:r>
    </w:p>
    <w:p w:rsidR="004C1CC5" w:rsidRPr="00533656" w:rsidRDefault="004C1CC5" w:rsidP="004C1CC5">
      <w:pPr>
        <w:tabs>
          <w:tab w:val="left" w:pos="567"/>
        </w:tabs>
        <w:ind w:left="567" w:hanging="567"/>
        <w:jc w:val="both"/>
        <w:rPr>
          <w:color w:val="0D0D0D"/>
          <w:sz w:val="18"/>
          <w:szCs w:val="18"/>
        </w:rPr>
      </w:pPr>
      <w:r w:rsidRPr="00533656">
        <w:rPr>
          <w:color w:val="0D0D0D"/>
          <w:sz w:val="18"/>
          <w:szCs w:val="18"/>
        </w:rPr>
        <w:t>[</w:t>
      </w:r>
      <w:r w:rsidR="005B12CF">
        <w:rPr>
          <w:color w:val="0D0D0D"/>
          <w:sz w:val="18"/>
          <w:szCs w:val="18"/>
        </w:rPr>
        <w:t>27</w:t>
      </w:r>
      <w:r w:rsidRPr="00533656">
        <w:rPr>
          <w:color w:val="0D0D0D"/>
          <w:sz w:val="18"/>
          <w:szCs w:val="18"/>
        </w:rPr>
        <w:t xml:space="preserve">] </w:t>
      </w:r>
      <w:r w:rsidRPr="00533656">
        <w:rPr>
          <w:color w:val="0D0D0D"/>
          <w:sz w:val="18"/>
          <w:szCs w:val="18"/>
        </w:rPr>
        <w:tab/>
        <w:t>Dinas Perindustrian Sumedang, Direktori Perusahaan IKM Tahu Tahun 2017, diterima melalui email pada 12 November 2018.</w:t>
      </w:r>
    </w:p>
    <w:p w:rsidR="004C1CC5" w:rsidRPr="00427789" w:rsidRDefault="005B12CF" w:rsidP="004C1CC5">
      <w:pPr>
        <w:tabs>
          <w:tab w:val="left" w:pos="567"/>
        </w:tabs>
        <w:ind w:left="567" w:hanging="567"/>
        <w:jc w:val="both"/>
        <w:rPr>
          <w:sz w:val="18"/>
          <w:szCs w:val="18"/>
        </w:rPr>
      </w:pPr>
      <w:r w:rsidRPr="00427789">
        <w:rPr>
          <w:sz w:val="18"/>
          <w:szCs w:val="18"/>
        </w:rPr>
        <w:t xml:space="preserve"> </w:t>
      </w:r>
      <w:r w:rsidR="004C1CC5" w:rsidRPr="00427789">
        <w:rPr>
          <w:sz w:val="18"/>
          <w:szCs w:val="18"/>
        </w:rPr>
        <w:t>[</w:t>
      </w:r>
      <w:r>
        <w:rPr>
          <w:sz w:val="18"/>
          <w:szCs w:val="18"/>
        </w:rPr>
        <w:t>28</w:t>
      </w:r>
      <w:r w:rsidR="004C1CC5" w:rsidRPr="00427789">
        <w:rPr>
          <w:sz w:val="18"/>
          <w:szCs w:val="18"/>
        </w:rPr>
        <w:t xml:space="preserve">]  </w:t>
      </w:r>
      <w:r w:rsidR="004C1CC5" w:rsidRPr="00427789">
        <w:rPr>
          <w:sz w:val="18"/>
          <w:szCs w:val="18"/>
        </w:rPr>
        <w:tab/>
        <w:t>Pusat Data dan Sistem Informasi Pertanian, Sekretariat Jenderal, Kementerian Pertanian, TA.2017, “Outlook Tanaman Pangan dan Hortikultura 2017”, ISSN: 1907-1507.</w:t>
      </w:r>
    </w:p>
    <w:p w:rsidR="004C1CC5" w:rsidRPr="00427789" w:rsidRDefault="004C1CC5" w:rsidP="004C1CC5">
      <w:pPr>
        <w:tabs>
          <w:tab w:val="left" w:pos="567"/>
        </w:tabs>
        <w:ind w:left="567" w:hanging="567"/>
        <w:jc w:val="both"/>
        <w:rPr>
          <w:sz w:val="18"/>
          <w:szCs w:val="18"/>
        </w:rPr>
      </w:pPr>
      <w:r w:rsidRPr="00427789">
        <w:rPr>
          <w:sz w:val="18"/>
          <w:szCs w:val="18"/>
        </w:rPr>
        <w:t>[</w:t>
      </w:r>
      <w:r w:rsidR="005B12CF">
        <w:rPr>
          <w:sz w:val="18"/>
          <w:szCs w:val="18"/>
        </w:rPr>
        <w:t>29</w:t>
      </w:r>
      <w:r w:rsidRPr="00427789">
        <w:rPr>
          <w:sz w:val="18"/>
          <w:szCs w:val="18"/>
        </w:rPr>
        <w:t xml:space="preserve">]  </w:t>
      </w:r>
      <w:r w:rsidRPr="00427789">
        <w:rPr>
          <w:sz w:val="18"/>
          <w:szCs w:val="18"/>
        </w:rPr>
        <w:tab/>
        <w:t xml:space="preserve">Badan Pusat Statistik, “Impor Kedelai Manurut Negara Asal Utama, 2010-2017”, </w:t>
      </w:r>
      <w:hyperlink r:id="rId21" w:history="1">
        <w:r w:rsidRPr="00427789">
          <w:rPr>
            <w:rStyle w:val="Hyperlink"/>
            <w:sz w:val="18"/>
            <w:szCs w:val="18"/>
          </w:rPr>
          <w:t>https://www.bps.go.id/statictable/2019/02/14/2015/impo</w:t>
        </w:r>
        <w:r w:rsidRPr="00427789">
          <w:rPr>
            <w:rStyle w:val="Hyperlink"/>
            <w:sz w:val="18"/>
            <w:szCs w:val="18"/>
          </w:rPr>
          <w:t>r-kedelai-menurut-negara-asal-utama-2010-2017</w:t>
        </w:r>
      </w:hyperlink>
      <w:r w:rsidRPr="00427789">
        <w:rPr>
          <w:sz w:val="18"/>
          <w:szCs w:val="18"/>
        </w:rPr>
        <w:t>.</w:t>
      </w:r>
    </w:p>
    <w:p w:rsidR="004C1CC5" w:rsidRPr="00427789" w:rsidRDefault="004C1CC5" w:rsidP="004C1CC5">
      <w:pPr>
        <w:tabs>
          <w:tab w:val="left" w:pos="567"/>
        </w:tabs>
        <w:ind w:left="567" w:hanging="567"/>
        <w:jc w:val="both"/>
        <w:rPr>
          <w:sz w:val="18"/>
          <w:szCs w:val="18"/>
        </w:rPr>
      </w:pPr>
      <w:r w:rsidRPr="00427789">
        <w:rPr>
          <w:sz w:val="18"/>
          <w:szCs w:val="18"/>
        </w:rPr>
        <w:t>[</w:t>
      </w:r>
      <w:r w:rsidR="005B12CF">
        <w:rPr>
          <w:sz w:val="18"/>
          <w:szCs w:val="18"/>
        </w:rPr>
        <w:t>30</w:t>
      </w:r>
      <w:r w:rsidRPr="00427789">
        <w:rPr>
          <w:sz w:val="18"/>
          <w:szCs w:val="18"/>
        </w:rPr>
        <w:t xml:space="preserve">]  </w:t>
      </w:r>
      <w:r w:rsidRPr="00427789">
        <w:rPr>
          <w:sz w:val="18"/>
          <w:szCs w:val="18"/>
        </w:rPr>
        <w:tab/>
        <w:t>Badan Pusat Statistik, “Statistik Indonesia 2019”, Katalog:1101001.</w:t>
      </w:r>
    </w:p>
    <w:p w:rsidR="004C1CC5" w:rsidRPr="00427789" w:rsidRDefault="004C1CC5" w:rsidP="004C1CC5">
      <w:pPr>
        <w:tabs>
          <w:tab w:val="left" w:pos="567"/>
        </w:tabs>
        <w:ind w:left="567" w:hanging="567"/>
        <w:jc w:val="both"/>
        <w:rPr>
          <w:sz w:val="18"/>
          <w:szCs w:val="18"/>
        </w:rPr>
      </w:pPr>
      <w:r w:rsidRPr="00427789">
        <w:rPr>
          <w:sz w:val="18"/>
          <w:szCs w:val="18"/>
        </w:rPr>
        <w:t>[</w:t>
      </w:r>
      <w:r w:rsidR="005B12CF">
        <w:rPr>
          <w:sz w:val="18"/>
          <w:szCs w:val="18"/>
        </w:rPr>
        <w:t>31</w:t>
      </w:r>
      <w:r w:rsidRPr="00427789">
        <w:rPr>
          <w:sz w:val="18"/>
          <w:szCs w:val="18"/>
        </w:rPr>
        <w:t xml:space="preserve">]  </w:t>
      </w:r>
      <w:r w:rsidRPr="00427789">
        <w:rPr>
          <w:sz w:val="18"/>
          <w:szCs w:val="18"/>
        </w:rPr>
        <w:tab/>
        <w:t xml:space="preserve">Badan Pusat Statistik, “Populasi Sapi Potong menurut Provinsi, 2009-2018”, </w:t>
      </w:r>
      <w:hyperlink r:id="rId22" w:history="1">
        <w:r w:rsidRPr="00427789">
          <w:rPr>
            <w:rStyle w:val="Hyperlink"/>
            <w:sz w:val="18"/>
            <w:szCs w:val="18"/>
          </w:rPr>
          <w:t>https://www.bps.go.id/linkTableDinamis/view/id/1016</w:t>
        </w:r>
      </w:hyperlink>
      <w:r w:rsidRPr="00427789">
        <w:rPr>
          <w:sz w:val="18"/>
          <w:szCs w:val="18"/>
        </w:rPr>
        <w:t>.</w:t>
      </w:r>
    </w:p>
    <w:p w:rsidR="004C1CC5" w:rsidRPr="00427789" w:rsidRDefault="004C1CC5" w:rsidP="004C1CC5">
      <w:pPr>
        <w:tabs>
          <w:tab w:val="left" w:pos="567"/>
        </w:tabs>
        <w:ind w:left="567" w:hanging="567"/>
        <w:jc w:val="both"/>
        <w:rPr>
          <w:sz w:val="18"/>
          <w:szCs w:val="18"/>
        </w:rPr>
      </w:pPr>
      <w:r w:rsidRPr="00427789">
        <w:rPr>
          <w:sz w:val="18"/>
          <w:szCs w:val="18"/>
        </w:rPr>
        <w:t>[</w:t>
      </w:r>
      <w:r w:rsidR="005B12CF">
        <w:rPr>
          <w:sz w:val="18"/>
          <w:szCs w:val="18"/>
        </w:rPr>
        <w:t>32</w:t>
      </w:r>
      <w:r w:rsidRPr="00427789">
        <w:rPr>
          <w:sz w:val="18"/>
          <w:szCs w:val="18"/>
        </w:rPr>
        <w:t xml:space="preserve">]  </w:t>
      </w:r>
      <w:r w:rsidRPr="00427789">
        <w:rPr>
          <w:sz w:val="18"/>
          <w:szCs w:val="18"/>
        </w:rPr>
        <w:tab/>
        <w:t>Badan Perencanaan Pembangunan Nasional, Badan Pusat Statistik, United Nations Population, “Proyeksi Penduduk Indonesia”.</w:t>
      </w:r>
    </w:p>
    <w:p w:rsidR="004C1CC5" w:rsidRPr="00427789" w:rsidRDefault="004C1CC5" w:rsidP="004C1CC5">
      <w:pPr>
        <w:tabs>
          <w:tab w:val="left" w:pos="567"/>
        </w:tabs>
        <w:ind w:left="567" w:hanging="567"/>
        <w:rPr>
          <w:sz w:val="18"/>
          <w:szCs w:val="18"/>
        </w:rPr>
      </w:pPr>
    </w:p>
    <w:p w:rsidR="004C1CC5" w:rsidRDefault="004C1CC5" w:rsidP="004C1CC5"/>
    <w:p w:rsidR="004C1CC5" w:rsidRPr="003853EB" w:rsidRDefault="004C1CC5" w:rsidP="004C1CC5">
      <w:pPr>
        <w:pStyle w:val="References"/>
        <w:ind w:hanging="360"/>
        <w:rPr>
          <w:lang w:val="fr-FR"/>
        </w:rPr>
      </w:pPr>
    </w:p>
    <w:p w:rsidR="00835079" w:rsidRDefault="00835079" w:rsidP="00AA17F7">
      <w:pPr>
        <w:jc w:val="both"/>
        <w:rPr>
          <w:b/>
          <w:sz w:val="18"/>
        </w:rPr>
        <w:sectPr w:rsidR="00835079" w:rsidSect="000100E1">
          <w:footnotePr>
            <w:numRestart w:val="eachSect"/>
          </w:footnotePr>
          <w:endnotePr>
            <w:numFmt w:val="decimal"/>
          </w:endnotePr>
          <w:type w:val="continuous"/>
          <w:pgSz w:w="11907" w:h="16840" w:code="9"/>
          <w:pgMar w:top="1440" w:right="1094" w:bottom="1440" w:left="1094" w:header="720" w:footer="431" w:gutter="0"/>
          <w:cols w:num="2" w:space="355"/>
          <w:noEndnote/>
          <w:docGrid w:linePitch="272"/>
        </w:sectPr>
      </w:pPr>
    </w:p>
    <w:p w:rsidR="00FD3DE7" w:rsidRPr="00D4573D" w:rsidRDefault="00FD3DE7" w:rsidP="00AA17F7">
      <w:pPr>
        <w:jc w:val="both"/>
        <w:rPr>
          <w:b/>
          <w:sz w:val="18"/>
        </w:rPr>
      </w:pPr>
    </w:p>
    <w:sectPr w:rsidR="00FD3DE7" w:rsidRPr="00D4573D" w:rsidSect="00881D1D">
      <w:footnotePr>
        <w:numRestart w:val="eachSect"/>
      </w:footnotePr>
      <w:endnotePr>
        <w:numFmt w:val="decimal"/>
      </w:endnotePr>
      <w:type w:val="continuous"/>
      <w:pgSz w:w="11907" w:h="16840" w:code="9"/>
      <w:pgMar w:top="1440" w:right="1094" w:bottom="1440" w:left="1094" w:header="720" w:footer="431" w:gutter="0"/>
      <w:cols w:num="2" w:space="411"/>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AF9" w:rsidRDefault="00A30AF9">
      <w:r>
        <w:separator/>
      </w:r>
    </w:p>
  </w:endnote>
  <w:endnote w:type="continuationSeparator" w:id="0">
    <w:p w:rsidR="00A30AF9" w:rsidRDefault="00A30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972"/>
      <w:gridCol w:w="8747"/>
    </w:tblGrid>
    <w:tr w:rsidR="008D37F5">
      <w:tc>
        <w:tcPr>
          <w:tcW w:w="500" w:type="pct"/>
          <w:tcBorders>
            <w:top w:val="single" w:sz="4" w:space="0" w:color="943634" w:themeColor="accent2" w:themeShade="BF"/>
          </w:tcBorders>
          <w:shd w:val="clear" w:color="auto" w:fill="943634" w:themeFill="accent2" w:themeFillShade="BF"/>
        </w:tcPr>
        <w:p w:rsidR="008D37F5" w:rsidRDefault="008D37F5">
          <w:pPr>
            <w:pStyle w:val="Footer"/>
            <w:jc w:val="right"/>
            <w:rPr>
              <w:b/>
              <w:color w:val="FFFFFF" w:themeColor="background1"/>
            </w:rPr>
          </w:pPr>
          <w:r>
            <w:fldChar w:fldCharType="begin"/>
          </w:r>
          <w:r>
            <w:instrText xml:space="preserve"> PAGE   \* MERGEFORMAT </w:instrText>
          </w:r>
          <w:r>
            <w:fldChar w:fldCharType="separate"/>
          </w:r>
          <w:r w:rsidR="00516BB3" w:rsidRPr="00516BB3">
            <w:rPr>
              <w:color w:val="FFFFFF" w:themeColor="background1"/>
            </w:rPr>
            <w:t>1</w:t>
          </w:r>
          <w:r>
            <w:rPr>
              <w:color w:val="FFFFFF" w:themeColor="background1"/>
            </w:rPr>
            <w:fldChar w:fldCharType="end"/>
          </w:r>
        </w:p>
      </w:tc>
      <w:tc>
        <w:tcPr>
          <w:tcW w:w="4500" w:type="pct"/>
          <w:tcBorders>
            <w:top w:val="single" w:sz="4" w:space="0" w:color="auto"/>
          </w:tcBorders>
        </w:tcPr>
        <w:p w:rsidR="008D37F5" w:rsidRDefault="008D37F5" w:rsidP="00287BF4">
          <w:pPr>
            <w:pStyle w:val="Footer"/>
            <w:rPr>
              <w:sz w:val="14"/>
              <w:szCs w:val="14"/>
            </w:rPr>
          </w:pPr>
          <w:r w:rsidRPr="00223512">
            <w:rPr>
              <w:b/>
              <w:color w:val="C00000"/>
              <w:sz w:val="14"/>
              <w:szCs w:val="14"/>
            </w:rPr>
            <w:t>JOMA</w:t>
          </w:r>
          <w:r w:rsidRPr="00223512">
            <w:rPr>
              <w:b/>
              <w:color w:val="00B050"/>
              <w:sz w:val="14"/>
              <w:szCs w:val="14"/>
            </w:rPr>
            <w:t>se</w:t>
          </w:r>
          <w:r w:rsidRPr="0026679A">
            <w:rPr>
              <w:sz w:val="14"/>
              <w:szCs w:val="14"/>
            </w:rPr>
            <w:t xml:space="preserve"> | Received: </w:t>
          </w:r>
          <w:r>
            <w:rPr>
              <w:sz w:val="14"/>
              <w:szCs w:val="14"/>
            </w:rPr>
            <w:t>xxxxx</w:t>
          </w:r>
          <w:r w:rsidRPr="0026679A">
            <w:rPr>
              <w:sz w:val="14"/>
              <w:szCs w:val="14"/>
            </w:rPr>
            <w:t xml:space="preserve"> | Accepted: </w:t>
          </w:r>
          <w:r>
            <w:rPr>
              <w:sz w:val="14"/>
              <w:szCs w:val="14"/>
            </w:rPr>
            <w:t>xxxxx</w:t>
          </w:r>
          <w:r w:rsidRPr="0026679A">
            <w:rPr>
              <w:sz w:val="14"/>
              <w:szCs w:val="14"/>
            </w:rPr>
            <w:t xml:space="preserve"> | </w:t>
          </w:r>
          <w:r>
            <w:rPr>
              <w:sz w:val="14"/>
              <w:szCs w:val="14"/>
            </w:rPr>
            <w:t>[(1</w:t>
          </w:r>
          <w:r w:rsidRPr="0026679A">
            <w:rPr>
              <w:sz w:val="14"/>
              <w:szCs w:val="14"/>
            </w:rPr>
            <w:t>)</w:t>
          </w:r>
          <w:r>
            <w:rPr>
              <w:sz w:val="14"/>
              <w:szCs w:val="14"/>
            </w:rPr>
            <w:t xml:space="preserve"> </w:t>
          </w:r>
          <w:r w:rsidRPr="0026679A">
            <w:rPr>
              <w:sz w:val="14"/>
              <w:szCs w:val="14"/>
            </w:rPr>
            <w:t>1: 1-</w:t>
          </w:r>
          <w:r>
            <w:rPr>
              <w:sz w:val="14"/>
              <w:szCs w:val="14"/>
            </w:rPr>
            <w:t>3</w:t>
          </w:r>
          <w:r w:rsidRPr="0026679A">
            <w:rPr>
              <w:sz w:val="14"/>
              <w:szCs w:val="14"/>
            </w:rPr>
            <w:t>]</w:t>
          </w:r>
        </w:p>
        <w:p w:rsidR="008D37F5" w:rsidRPr="00076284" w:rsidRDefault="008D37F5" w:rsidP="00287BF4">
          <w:pPr>
            <w:pStyle w:val="Footer"/>
            <w:rPr>
              <w:sz w:val="14"/>
              <w:szCs w:val="14"/>
            </w:rPr>
          </w:pPr>
          <w:r w:rsidRPr="004A7685">
            <w:rPr>
              <w:sz w:val="14"/>
              <w:szCs w:val="14"/>
            </w:rPr>
            <w:t xml:space="preserve">Published by International Society of Ocean, Mechanical and Aerospace Scientists and Engineers, </w:t>
          </w:r>
          <w:r w:rsidRPr="004A7685">
            <w:rPr>
              <w:color w:val="C00000"/>
              <w:sz w:val="14"/>
              <w:szCs w:val="14"/>
            </w:rPr>
            <w:t>www.isomase.org</w:t>
          </w:r>
          <w:r w:rsidRPr="004A7685">
            <w:rPr>
              <w:sz w:val="14"/>
              <w:szCs w:val="14"/>
            </w:rPr>
            <w:t>., ISSN: 2354-7065 &amp;  e-ISSN: 2527-6085</w:t>
          </w:r>
        </w:p>
      </w:tc>
    </w:tr>
  </w:tbl>
  <w:p w:rsidR="008D37F5" w:rsidRDefault="008D3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AF9" w:rsidRDefault="00A30AF9">
      <w:r>
        <w:separator/>
      </w:r>
    </w:p>
  </w:footnote>
  <w:footnote w:type="continuationSeparator" w:id="0">
    <w:p w:rsidR="00A30AF9" w:rsidRDefault="00A30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3076"/>
      <w:gridCol w:w="4841"/>
      <w:gridCol w:w="1792"/>
    </w:tblGrid>
    <w:tr w:rsidR="008D37F5" w:rsidRPr="00311E60" w:rsidTr="00881D1D">
      <w:trPr>
        <w:trHeight w:val="422"/>
      </w:trPr>
      <w:tc>
        <w:tcPr>
          <w:tcW w:w="1584" w:type="pct"/>
          <w:vAlign w:val="center"/>
        </w:tcPr>
        <w:p w:rsidR="008D37F5" w:rsidRPr="006556AE" w:rsidRDefault="008D37F5" w:rsidP="00F721A6">
          <w:pPr>
            <w:pStyle w:val="Header"/>
            <w:rPr>
              <w:b/>
              <w:bCs/>
              <w:color w:val="C00000"/>
              <w:sz w:val="24"/>
              <w:szCs w:val="24"/>
            </w:rPr>
          </w:pPr>
          <w:r>
            <w:rPr>
              <w:lang w:val="en-US"/>
            </w:rPr>
            <w:drawing>
              <wp:anchor distT="0" distB="0" distL="114300" distR="114300" simplePos="0" relativeHeight="251657216" behindDoc="1" locked="0" layoutInCell="1" allowOverlap="1" wp14:anchorId="795B8B08" wp14:editId="47F1ADB0">
                <wp:simplePos x="0" y="0"/>
                <wp:positionH relativeFrom="column">
                  <wp:posOffset>81280</wp:posOffset>
                </wp:positionH>
                <wp:positionV relativeFrom="paragraph">
                  <wp:posOffset>-273050</wp:posOffset>
                </wp:positionV>
                <wp:extent cx="1729740" cy="271145"/>
                <wp:effectExtent l="0" t="0" r="3810" b="0"/>
                <wp:wrapTight wrapText="bothSides">
                  <wp:wrapPolygon edited="0">
                    <wp:start x="0" y="0"/>
                    <wp:lineTo x="0" y="19728"/>
                    <wp:lineTo x="21410" y="19728"/>
                    <wp:lineTo x="2141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9740" cy="2711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93" w:type="pct"/>
          <w:vAlign w:val="center"/>
        </w:tcPr>
        <w:p w:rsidR="008D37F5" w:rsidRDefault="008D37F5" w:rsidP="00F721A6">
          <w:pPr>
            <w:pStyle w:val="Header"/>
            <w:jc w:val="center"/>
            <w:rPr>
              <w:b/>
              <w:bCs/>
              <w:color w:val="C00000"/>
              <w:sz w:val="24"/>
              <w:szCs w:val="24"/>
            </w:rPr>
          </w:pPr>
          <w:r w:rsidRPr="00D53113">
            <w:rPr>
              <w:b/>
              <w:bCs/>
              <w:color w:val="C00000"/>
              <w:sz w:val="24"/>
              <w:szCs w:val="24"/>
            </w:rPr>
            <w:t>Journal of Ocean, Mechanical and Aerospace</w:t>
          </w:r>
        </w:p>
        <w:p w:rsidR="008D37F5" w:rsidRDefault="008D37F5" w:rsidP="00F721A6">
          <w:pPr>
            <w:pStyle w:val="Header"/>
            <w:jc w:val="center"/>
            <w:rPr>
              <w:b/>
              <w:bCs/>
              <w:color w:val="C00000"/>
              <w:sz w:val="24"/>
              <w:szCs w:val="24"/>
            </w:rPr>
          </w:pPr>
          <w:r w:rsidRPr="00747103">
            <w:rPr>
              <w:b/>
              <w:bCs/>
              <w:color w:val="00B050"/>
              <w:sz w:val="20"/>
            </w:rPr>
            <w:t>-Science and Engineering-</w:t>
          </w:r>
          <w:r w:rsidRPr="00311E60">
            <w:rPr>
              <w:b/>
              <w:bCs/>
              <w:color w:val="C00000"/>
              <w:sz w:val="24"/>
              <w:szCs w:val="24"/>
            </w:rPr>
            <w:t xml:space="preserve"> </w:t>
          </w:r>
        </w:p>
        <w:p w:rsidR="008D37F5" w:rsidRDefault="008D37F5" w:rsidP="00F721A6">
          <w:pPr>
            <w:tabs>
              <w:tab w:val="center" w:pos="4680"/>
              <w:tab w:val="right" w:pos="9360"/>
            </w:tabs>
            <w:suppressAutoHyphens/>
            <w:jc w:val="center"/>
            <w:rPr>
              <w:rFonts w:eastAsia="MS Mincho"/>
              <w:b/>
              <w:szCs w:val="24"/>
              <w:lang w:val="tr-TR" w:eastAsia="ar-SA"/>
            </w:rPr>
          </w:pPr>
          <w:r>
            <w:rPr>
              <w:rFonts w:eastAsia="MS Mincho"/>
              <w:b/>
              <w:szCs w:val="24"/>
              <w:lang w:val="tr-TR" w:eastAsia="ar-SA"/>
            </w:rPr>
            <w:t>30</w:t>
          </w:r>
          <w:r w:rsidRPr="004A1E82">
            <w:rPr>
              <w:rFonts w:eastAsia="MS Mincho"/>
              <w:b/>
              <w:szCs w:val="24"/>
              <w:vertAlign w:val="superscript"/>
              <w:lang w:val="tr-TR" w:eastAsia="ar-SA"/>
            </w:rPr>
            <w:t>th</w:t>
          </w:r>
          <w:r w:rsidRPr="004A1E82">
            <w:rPr>
              <w:rFonts w:eastAsia="MS Mincho"/>
              <w:b/>
              <w:szCs w:val="24"/>
              <w:lang w:val="tr-TR" w:eastAsia="ar-SA"/>
            </w:rPr>
            <w:t xml:space="preserve"> </w:t>
          </w:r>
          <w:r>
            <w:rPr>
              <w:rFonts w:eastAsia="MS Mincho"/>
              <w:b/>
              <w:szCs w:val="24"/>
              <w:lang w:val="tr-TR" w:eastAsia="ar-SA"/>
            </w:rPr>
            <w:t>September</w:t>
          </w:r>
          <w:r w:rsidRPr="004A1E82">
            <w:rPr>
              <w:rFonts w:eastAsia="MS Mincho"/>
              <w:b/>
              <w:szCs w:val="24"/>
              <w:lang w:val="tr-TR" w:eastAsia="ar-SA"/>
            </w:rPr>
            <w:t xml:space="preserve"> 201</w:t>
          </w:r>
          <w:r>
            <w:rPr>
              <w:rFonts w:eastAsia="MS Mincho"/>
              <w:b/>
              <w:szCs w:val="24"/>
              <w:lang w:val="tr-TR" w:eastAsia="ar-SA"/>
            </w:rPr>
            <w:t>8</w:t>
          </w:r>
          <w:r w:rsidRPr="004A1E82">
            <w:rPr>
              <w:rFonts w:eastAsia="MS Mincho"/>
              <w:b/>
              <w:szCs w:val="24"/>
              <w:lang w:val="tr-TR" w:eastAsia="ar-SA"/>
            </w:rPr>
            <w:t>. Vol.1</w:t>
          </w:r>
          <w:r>
            <w:rPr>
              <w:rFonts w:eastAsia="MS Mincho"/>
              <w:b/>
              <w:szCs w:val="24"/>
              <w:lang w:val="tr-TR" w:eastAsia="ar-SA"/>
            </w:rPr>
            <w:t>5</w:t>
          </w:r>
          <w:r w:rsidRPr="004A1E82">
            <w:rPr>
              <w:rFonts w:eastAsia="MS Mincho"/>
              <w:b/>
              <w:szCs w:val="24"/>
              <w:lang w:val="tr-TR" w:eastAsia="ar-SA"/>
            </w:rPr>
            <w:t xml:space="preserve"> No.1</w:t>
          </w:r>
        </w:p>
        <w:p w:rsidR="008D37F5" w:rsidRPr="009C2782" w:rsidRDefault="008D37F5" w:rsidP="00F721A6">
          <w:pPr>
            <w:pStyle w:val="Header"/>
            <w:jc w:val="center"/>
            <w:rPr>
              <w:bCs/>
              <w:color w:val="C00000"/>
              <w:sz w:val="24"/>
              <w:szCs w:val="24"/>
              <w:lang w:val="en-MY"/>
            </w:rPr>
          </w:pPr>
          <w:r w:rsidRPr="004A1E82">
            <w:rPr>
              <w:rFonts w:eastAsia="MS Mincho"/>
              <w:b/>
              <w:szCs w:val="24"/>
              <w:lang w:val="tr-TR" w:eastAsia="ar-SA"/>
            </w:rPr>
            <w:t xml:space="preserve">© 2012 </w:t>
          </w:r>
          <w:r>
            <w:rPr>
              <w:rFonts w:eastAsia="MS Mincho"/>
              <w:b/>
              <w:szCs w:val="24"/>
              <w:lang w:val="tr-TR" w:eastAsia="ar-SA"/>
            </w:rPr>
            <w:t>ISOMAse,</w:t>
          </w:r>
          <w:r w:rsidRPr="004A1E82">
            <w:rPr>
              <w:rFonts w:eastAsia="MS Mincho"/>
              <w:b/>
              <w:szCs w:val="24"/>
              <w:lang w:val="tr-TR" w:eastAsia="ar-SA"/>
            </w:rPr>
            <w:t xml:space="preserve"> All rights reserved</w:t>
          </w:r>
        </w:p>
      </w:tc>
      <w:sdt>
        <w:sdtPr>
          <w:rPr>
            <w:b/>
            <w:color w:val="C00000"/>
          </w:rPr>
          <w:alias w:val="Date"/>
          <w:id w:val="996457449"/>
          <w:placeholder>
            <w:docPart w:val="F8A20E943B2C4EAEBDE1C9127E2EAF67"/>
          </w:placeholder>
          <w:dataBinding w:prefixMappings="xmlns:ns0='http://schemas.microsoft.com/office/2006/coverPageProps'" w:xpath="/ns0:CoverPageProperties[1]/ns0:PublishDate[1]" w:storeItemID="{55AF091B-3C7A-41E3-B477-F2FDAA23CFDA}"/>
          <w:date w:fullDate="2013-11-29T00:00:00Z">
            <w:dateFormat w:val="MMMM d, yyyy"/>
            <w:lid w:val="en-US"/>
            <w:storeMappedDataAs w:val="dateTime"/>
            <w:calendar w:val="gregorian"/>
          </w:date>
        </w:sdtPr>
        <w:sdtEndPr/>
        <w:sdtContent>
          <w:tc>
            <w:tcPr>
              <w:tcW w:w="923" w:type="pct"/>
              <w:shd w:val="clear" w:color="auto" w:fill="auto"/>
              <w:vAlign w:val="center"/>
            </w:tcPr>
            <w:p w:rsidR="008D37F5" w:rsidRPr="00311E60" w:rsidRDefault="008D37F5" w:rsidP="00881D1D">
              <w:pPr>
                <w:pStyle w:val="Header"/>
                <w:rPr>
                  <w:b/>
                  <w:color w:val="C00000"/>
                </w:rPr>
              </w:pPr>
              <w:r>
                <w:rPr>
                  <w:b/>
                  <w:color w:val="C00000"/>
                </w:rPr>
                <w:t>November 29, 2013</w:t>
              </w:r>
            </w:p>
          </w:tc>
        </w:sdtContent>
      </w:sdt>
    </w:tr>
  </w:tbl>
  <w:p w:rsidR="008D37F5" w:rsidRDefault="008D37F5" w:rsidP="000A471F">
    <w:pPr>
      <w:pStyle w:val="Header"/>
    </w:pPr>
    <w:r>
      <w:rPr>
        <w:snapToGrid/>
        <w:lang w:val="en-US"/>
      </w:rPr>
      <mc:AlternateContent>
        <mc:Choice Requires="wps">
          <w:drawing>
            <wp:anchor distT="0" distB="0" distL="114300" distR="114300" simplePos="0" relativeHeight="251658240" behindDoc="1" locked="0" layoutInCell="1" allowOverlap="1">
              <wp:simplePos x="0" y="0"/>
              <wp:positionH relativeFrom="column">
                <wp:posOffset>4445</wp:posOffset>
              </wp:positionH>
              <wp:positionV relativeFrom="paragraph">
                <wp:posOffset>66675</wp:posOffset>
              </wp:positionV>
              <wp:extent cx="6334125" cy="0"/>
              <wp:effectExtent l="13970" t="66675" r="62230" b="6667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4125" cy="0"/>
                      </a:xfrm>
                      <a:prstGeom prst="straightConnector1">
                        <a:avLst/>
                      </a:prstGeom>
                      <a:noFill/>
                      <a:ln w="25400">
                        <a:solidFill>
                          <a:schemeClr val="accent1">
                            <a:lumMod val="75000"/>
                            <a:lumOff val="0"/>
                          </a:schemeClr>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2B7651C1" id="_x0000_t32" coordsize="21600,21600" o:spt="32" o:oned="t" path="m,l21600,21600e" filled="f">
              <v:path arrowok="t" fillok="f" o:connecttype="none"/>
              <o:lock v:ext="edit" shapetype="t"/>
            </v:shapetype>
            <v:shape id="AutoShape 1" o:spid="_x0000_s1026" type="#_x0000_t32" style="position:absolute;margin-left:.35pt;margin-top:5.25pt;width:49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" strokecolor="#365f91 [2404]" strokeweight="2pt">
              <v:stroke endarrow="oval"/>
              <v:shadow color="#622423"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189AE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FD476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8F8D92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026FA2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62C32C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9BA23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D62F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D0EF9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32430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D48B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pPr>
        <w:ind w:left="0" w:firstLine="0"/>
      </w:pPr>
    </w:lvl>
  </w:abstractNum>
  <w:abstractNum w:abstractNumId="11" w15:restartNumberingAfterBreak="0">
    <w:nsid w:val="01B368F9"/>
    <w:multiLevelType w:val="hybridMultilevel"/>
    <w:tmpl w:val="AD08A1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60A5A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6701AEC"/>
    <w:multiLevelType w:val="multilevel"/>
    <w:tmpl w:val="FE42C08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0DBB02F4"/>
    <w:multiLevelType w:val="hybridMultilevel"/>
    <w:tmpl w:val="D2DCCF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B82DA9"/>
    <w:multiLevelType w:val="singleLevel"/>
    <w:tmpl w:val="271CCD90"/>
    <w:lvl w:ilvl="0">
      <w:start w:val="1"/>
      <w:numFmt w:val="bullet"/>
      <w:lvlText w:val=""/>
      <w:lvlJc w:val="left"/>
      <w:pPr>
        <w:tabs>
          <w:tab w:val="num" w:pos="360"/>
        </w:tabs>
        <w:ind w:left="360" w:hanging="360"/>
      </w:pPr>
      <w:rPr>
        <w:rFonts w:ascii="Symbol" w:hAnsi="Symbol" w:hint="default"/>
        <w:sz w:val="18"/>
      </w:rPr>
    </w:lvl>
  </w:abstractNum>
  <w:abstractNum w:abstractNumId="16" w15:restartNumberingAfterBreak="0">
    <w:nsid w:val="124813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8E718DD"/>
    <w:multiLevelType w:val="hybridMultilevel"/>
    <w:tmpl w:val="BCC668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0CE3896"/>
    <w:multiLevelType w:val="hybridMultilevel"/>
    <w:tmpl w:val="217A8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9F5D50"/>
    <w:multiLevelType w:val="hybridMultilevel"/>
    <w:tmpl w:val="03B45DF8"/>
    <w:lvl w:ilvl="0" w:tplc="4154931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2B1045CA"/>
    <w:multiLevelType w:val="multilevel"/>
    <w:tmpl w:val="5BB82CD8"/>
    <w:lvl w:ilvl="0">
      <w:start w:val="1"/>
      <w:numFmt w:val="decimal"/>
      <w:lvlText w:val="%1."/>
      <w:lvlJc w:val="left"/>
      <w:pPr>
        <w:ind w:left="1080" w:hanging="720"/>
      </w:pPr>
      <w:rPr>
        <w:rFonts w:hint="default"/>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2B521CC4"/>
    <w:multiLevelType w:val="hybridMultilevel"/>
    <w:tmpl w:val="BB729F0E"/>
    <w:lvl w:ilvl="0" w:tplc="043E001B">
      <w:start w:val="1"/>
      <w:numFmt w:val="lowerRoman"/>
      <w:lvlText w:val="%1."/>
      <w:lvlJc w:val="right"/>
      <w:pPr>
        <w:ind w:left="1440" w:hanging="360"/>
      </w:pPr>
    </w:lvl>
    <w:lvl w:ilvl="1" w:tplc="043E0019" w:tentative="1">
      <w:start w:val="1"/>
      <w:numFmt w:val="lowerLetter"/>
      <w:lvlText w:val="%2."/>
      <w:lvlJc w:val="left"/>
      <w:pPr>
        <w:ind w:left="2160" w:hanging="360"/>
      </w:pPr>
    </w:lvl>
    <w:lvl w:ilvl="2" w:tplc="043E001B" w:tentative="1">
      <w:start w:val="1"/>
      <w:numFmt w:val="lowerRoman"/>
      <w:lvlText w:val="%3."/>
      <w:lvlJc w:val="right"/>
      <w:pPr>
        <w:ind w:left="2880" w:hanging="180"/>
      </w:pPr>
    </w:lvl>
    <w:lvl w:ilvl="3" w:tplc="043E000F" w:tentative="1">
      <w:start w:val="1"/>
      <w:numFmt w:val="decimal"/>
      <w:lvlText w:val="%4."/>
      <w:lvlJc w:val="left"/>
      <w:pPr>
        <w:ind w:left="3600" w:hanging="360"/>
      </w:pPr>
    </w:lvl>
    <w:lvl w:ilvl="4" w:tplc="043E0019" w:tentative="1">
      <w:start w:val="1"/>
      <w:numFmt w:val="lowerLetter"/>
      <w:lvlText w:val="%5."/>
      <w:lvlJc w:val="left"/>
      <w:pPr>
        <w:ind w:left="4320" w:hanging="360"/>
      </w:pPr>
    </w:lvl>
    <w:lvl w:ilvl="5" w:tplc="043E001B" w:tentative="1">
      <w:start w:val="1"/>
      <w:numFmt w:val="lowerRoman"/>
      <w:lvlText w:val="%6."/>
      <w:lvlJc w:val="right"/>
      <w:pPr>
        <w:ind w:left="5040" w:hanging="180"/>
      </w:pPr>
    </w:lvl>
    <w:lvl w:ilvl="6" w:tplc="043E000F" w:tentative="1">
      <w:start w:val="1"/>
      <w:numFmt w:val="decimal"/>
      <w:lvlText w:val="%7."/>
      <w:lvlJc w:val="left"/>
      <w:pPr>
        <w:ind w:left="5760" w:hanging="360"/>
      </w:pPr>
    </w:lvl>
    <w:lvl w:ilvl="7" w:tplc="043E0019" w:tentative="1">
      <w:start w:val="1"/>
      <w:numFmt w:val="lowerLetter"/>
      <w:lvlText w:val="%8."/>
      <w:lvlJc w:val="left"/>
      <w:pPr>
        <w:ind w:left="6480" w:hanging="360"/>
      </w:pPr>
    </w:lvl>
    <w:lvl w:ilvl="8" w:tplc="043E001B" w:tentative="1">
      <w:start w:val="1"/>
      <w:numFmt w:val="lowerRoman"/>
      <w:lvlText w:val="%9."/>
      <w:lvlJc w:val="right"/>
      <w:pPr>
        <w:ind w:left="7200" w:hanging="180"/>
      </w:pPr>
    </w:lvl>
  </w:abstractNum>
  <w:abstractNum w:abstractNumId="22" w15:restartNumberingAfterBreak="0">
    <w:nsid w:val="30E33D79"/>
    <w:multiLevelType w:val="hybridMultilevel"/>
    <w:tmpl w:val="08C0F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4F66E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4" w15:restartNumberingAfterBreak="0">
    <w:nsid w:val="33C371A4"/>
    <w:multiLevelType w:val="hybridMultilevel"/>
    <w:tmpl w:val="91002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26" w15:restartNumberingAfterBreak="0">
    <w:nsid w:val="3DFC35E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7" w15:restartNumberingAfterBreak="0">
    <w:nsid w:val="40C20360"/>
    <w:multiLevelType w:val="hybridMultilevel"/>
    <w:tmpl w:val="E2FEDF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46A6352"/>
    <w:multiLevelType w:val="hybridMultilevel"/>
    <w:tmpl w:val="1F324084"/>
    <w:lvl w:ilvl="0" w:tplc="0568E9EE">
      <w:start w:val="1"/>
      <w:numFmt w:val="decimal"/>
      <w:lvlText w:val="%1."/>
      <w:lvlJc w:val="left"/>
      <w:pPr>
        <w:ind w:left="360" w:hanging="360"/>
      </w:pPr>
      <w:rPr>
        <w:rFonts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6A97A6F"/>
    <w:multiLevelType w:val="hybridMultilevel"/>
    <w:tmpl w:val="88D866D4"/>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0" w15:restartNumberingAfterBreak="0">
    <w:nsid w:val="4AB4256E"/>
    <w:multiLevelType w:val="hybridMultilevel"/>
    <w:tmpl w:val="E5DCD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71041C"/>
    <w:multiLevelType w:val="hybridMultilevel"/>
    <w:tmpl w:val="AAA85AAE"/>
    <w:lvl w:ilvl="0" w:tplc="F1EC90FC">
      <w:numFmt w:val="bullet"/>
      <w:lvlText w:val=""/>
      <w:lvlJc w:val="left"/>
      <w:pPr>
        <w:tabs>
          <w:tab w:val="num" w:pos="360"/>
        </w:tabs>
        <w:ind w:left="216" w:hanging="216"/>
      </w:pPr>
      <w:rPr>
        <w:rFonts w:ascii="Symbol" w:eastAsia="MS Mincho"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E11C13"/>
    <w:multiLevelType w:val="hybridMultilevel"/>
    <w:tmpl w:val="88F24260"/>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3" w15:restartNumberingAfterBreak="0">
    <w:nsid w:val="4FCE682F"/>
    <w:multiLevelType w:val="hybridMultilevel"/>
    <w:tmpl w:val="230A95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0E93CCE"/>
    <w:multiLevelType w:val="hybridMultilevel"/>
    <w:tmpl w:val="082867B6"/>
    <w:lvl w:ilvl="0" w:tplc="043E001B">
      <w:start w:val="1"/>
      <w:numFmt w:val="lowerRoman"/>
      <w:lvlText w:val="%1."/>
      <w:lvlJc w:val="right"/>
      <w:pPr>
        <w:ind w:left="1428" w:hanging="360"/>
      </w:pPr>
    </w:lvl>
    <w:lvl w:ilvl="1" w:tplc="043E0019" w:tentative="1">
      <w:start w:val="1"/>
      <w:numFmt w:val="lowerLetter"/>
      <w:lvlText w:val="%2."/>
      <w:lvlJc w:val="left"/>
      <w:pPr>
        <w:ind w:left="2148" w:hanging="360"/>
      </w:pPr>
    </w:lvl>
    <w:lvl w:ilvl="2" w:tplc="043E001B" w:tentative="1">
      <w:start w:val="1"/>
      <w:numFmt w:val="lowerRoman"/>
      <w:lvlText w:val="%3."/>
      <w:lvlJc w:val="right"/>
      <w:pPr>
        <w:ind w:left="2868" w:hanging="180"/>
      </w:pPr>
    </w:lvl>
    <w:lvl w:ilvl="3" w:tplc="043E000F" w:tentative="1">
      <w:start w:val="1"/>
      <w:numFmt w:val="decimal"/>
      <w:lvlText w:val="%4."/>
      <w:lvlJc w:val="left"/>
      <w:pPr>
        <w:ind w:left="3588" w:hanging="360"/>
      </w:pPr>
    </w:lvl>
    <w:lvl w:ilvl="4" w:tplc="043E0019" w:tentative="1">
      <w:start w:val="1"/>
      <w:numFmt w:val="lowerLetter"/>
      <w:lvlText w:val="%5."/>
      <w:lvlJc w:val="left"/>
      <w:pPr>
        <w:ind w:left="4308" w:hanging="360"/>
      </w:pPr>
    </w:lvl>
    <w:lvl w:ilvl="5" w:tplc="043E001B" w:tentative="1">
      <w:start w:val="1"/>
      <w:numFmt w:val="lowerRoman"/>
      <w:lvlText w:val="%6."/>
      <w:lvlJc w:val="right"/>
      <w:pPr>
        <w:ind w:left="5028" w:hanging="180"/>
      </w:pPr>
    </w:lvl>
    <w:lvl w:ilvl="6" w:tplc="043E000F" w:tentative="1">
      <w:start w:val="1"/>
      <w:numFmt w:val="decimal"/>
      <w:lvlText w:val="%7."/>
      <w:lvlJc w:val="left"/>
      <w:pPr>
        <w:ind w:left="5748" w:hanging="360"/>
      </w:pPr>
    </w:lvl>
    <w:lvl w:ilvl="7" w:tplc="043E0019" w:tentative="1">
      <w:start w:val="1"/>
      <w:numFmt w:val="lowerLetter"/>
      <w:lvlText w:val="%8."/>
      <w:lvlJc w:val="left"/>
      <w:pPr>
        <w:ind w:left="6468" w:hanging="360"/>
      </w:pPr>
    </w:lvl>
    <w:lvl w:ilvl="8" w:tplc="043E001B" w:tentative="1">
      <w:start w:val="1"/>
      <w:numFmt w:val="lowerRoman"/>
      <w:lvlText w:val="%9."/>
      <w:lvlJc w:val="right"/>
      <w:pPr>
        <w:ind w:left="7188" w:hanging="180"/>
      </w:pPr>
    </w:lvl>
  </w:abstractNum>
  <w:abstractNum w:abstractNumId="35" w15:restartNumberingAfterBreak="0">
    <w:nsid w:val="6C6E04BF"/>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6" w15:restartNumberingAfterBreak="0">
    <w:nsid w:val="6DA774FF"/>
    <w:multiLevelType w:val="hybridMultilevel"/>
    <w:tmpl w:val="78A00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796EA5"/>
    <w:multiLevelType w:val="hybridMultilevel"/>
    <w:tmpl w:val="ED6027E6"/>
    <w:lvl w:ilvl="0" w:tplc="04090001">
      <w:start w:val="1"/>
      <w:numFmt w:val="bullet"/>
      <w:lvlText w:val=""/>
      <w:lvlJc w:val="left"/>
      <w:pPr>
        <w:ind w:left="720" w:hanging="360"/>
      </w:pPr>
      <w:rPr>
        <w:rFonts w:ascii="Symbol" w:hAnsi="Symbol"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8" w15:restartNumberingAfterBreak="0">
    <w:nsid w:val="77565EC8"/>
    <w:multiLevelType w:val="multilevel"/>
    <w:tmpl w:val="C3B2F4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39" w15:restartNumberingAfterBreak="0">
    <w:nsid w:val="77C644D4"/>
    <w:multiLevelType w:val="hybridMultilevel"/>
    <w:tmpl w:val="7C600502"/>
    <w:lvl w:ilvl="0" w:tplc="910E3872">
      <w:start w:val="1"/>
      <w:numFmt w:val="decimal"/>
      <w:lvlText w:val="%1."/>
      <w:lvlJc w:val="left"/>
      <w:pPr>
        <w:tabs>
          <w:tab w:val="num" w:pos="720"/>
        </w:tabs>
        <w:ind w:left="720" w:hanging="360"/>
      </w:pPr>
      <w:rPr>
        <w:rFonts w:hint="default"/>
      </w:rPr>
    </w:lvl>
    <w:lvl w:ilvl="1" w:tplc="EFA8C9A8" w:tentative="1">
      <w:start w:val="1"/>
      <w:numFmt w:val="lowerLetter"/>
      <w:lvlText w:val="%2."/>
      <w:lvlJc w:val="left"/>
      <w:pPr>
        <w:tabs>
          <w:tab w:val="num" w:pos="1440"/>
        </w:tabs>
        <w:ind w:left="1440" w:hanging="360"/>
      </w:pPr>
    </w:lvl>
    <w:lvl w:ilvl="2" w:tplc="DABAB62C" w:tentative="1">
      <w:start w:val="1"/>
      <w:numFmt w:val="lowerRoman"/>
      <w:lvlText w:val="%3."/>
      <w:lvlJc w:val="right"/>
      <w:pPr>
        <w:tabs>
          <w:tab w:val="num" w:pos="2160"/>
        </w:tabs>
        <w:ind w:left="2160" w:hanging="180"/>
      </w:pPr>
    </w:lvl>
    <w:lvl w:ilvl="3" w:tplc="23EA4B30" w:tentative="1">
      <w:start w:val="1"/>
      <w:numFmt w:val="decimal"/>
      <w:lvlText w:val="%4."/>
      <w:lvlJc w:val="left"/>
      <w:pPr>
        <w:tabs>
          <w:tab w:val="num" w:pos="2880"/>
        </w:tabs>
        <w:ind w:left="2880" w:hanging="360"/>
      </w:pPr>
    </w:lvl>
    <w:lvl w:ilvl="4" w:tplc="ECD64F88" w:tentative="1">
      <w:start w:val="1"/>
      <w:numFmt w:val="lowerLetter"/>
      <w:lvlText w:val="%5."/>
      <w:lvlJc w:val="left"/>
      <w:pPr>
        <w:tabs>
          <w:tab w:val="num" w:pos="3600"/>
        </w:tabs>
        <w:ind w:left="3600" w:hanging="360"/>
      </w:pPr>
    </w:lvl>
    <w:lvl w:ilvl="5" w:tplc="A30EFD58" w:tentative="1">
      <w:start w:val="1"/>
      <w:numFmt w:val="lowerRoman"/>
      <w:lvlText w:val="%6."/>
      <w:lvlJc w:val="right"/>
      <w:pPr>
        <w:tabs>
          <w:tab w:val="num" w:pos="4320"/>
        </w:tabs>
        <w:ind w:left="4320" w:hanging="180"/>
      </w:pPr>
    </w:lvl>
    <w:lvl w:ilvl="6" w:tplc="9BE4068E" w:tentative="1">
      <w:start w:val="1"/>
      <w:numFmt w:val="decimal"/>
      <w:lvlText w:val="%7."/>
      <w:lvlJc w:val="left"/>
      <w:pPr>
        <w:tabs>
          <w:tab w:val="num" w:pos="5040"/>
        </w:tabs>
        <w:ind w:left="5040" w:hanging="360"/>
      </w:pPr>
    </w:lvl>
    <w:lvl w:ilvl="7" w:tplc="BB38E3C2" w:tentative="1">
      <w:start w:val="1"/>
      <w:numFmt w:val="lowerLetter"/>
      <w:lvlText w:val="%8."/>
      <w:lvlJc w:val="left"/>
      <w:pPr>
        <w:tabs>
          <w:tab w:val="num" w:pos="5760"/>
        </w:tabs>
        <w:ind w:left="5760" w:hanging="360"/>
      </w:pPr>
    </w:lvl>
    <w:lvl w:ilvl="8" w:tplc="4044E452" w:tentative="1">
      <w:start w:val="1"/>
      <w:numFmt w:val="lowerRoman"/>
      <w:lvlText w:val="%9."/>
      <w:lvlJc w:val="right"/>
      <w:pPr>
        <w:tabs>
          <w:tab w:val="num" w:pos="6480"/>
        </w:tabs>
        <w:ind w:left="6480" w:hanging="180"/>
      </w:pPr>
    </w:lvl>
  </w:abstractNum>
  <w:abstractNum w:abstractNumId="40" w15:restartNumberingAfterBreak="0">
    <w:nsid w:val="78A64634"/>
    <w:multiLevelType w:val="hybridMultilevel"/>
    <w:tmpl w:val="D036470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E9F69BE"/>
    <w:multiLevelType w:val="singleLevel"/>
    <w:tmpl w:val="271CCD90"/>
    <w:lvl w:ilvl="0">
      <w:start w:val="1"/>
      <w:numFmt w:val="bullet"/>
      <w:lvlText w:val=""/>
      <w:lvlJc w:val="left"/>
      <w:pPr>
        <w:tabs>
          <w:tab w:val="num" w:pos="360"/>
        </w:tabs>
        <w:ind w:left="360" w:hanging="360"/>
      </w:pPr>
      <w:rPr>
        <w:rFonts w:ascii="Symbol" w:hAnsi="Symbol" w:hint="default"/>
        <w:sz w:val="18"/>
      </w:rPr>
    </w:lvl>
  </w:abstractNum>
  <w:abstractNum w:abstractNumId="42" w15:restartNumberingAfterBreak="0">
    <w:nsid w:val="7F036787"/>
    <w:multiLevelType w:val="hybridMultilevel"/>
    <w:tmpl w:val="DFBE3BA4"/>
    <w:lvl w:ilvl="0" w:tplc="043E000F">
      <w:start w:val="1"/>
      <w:numFmt w:val="decimal"/>
      <w:lvlText w:val="%1."/>
      <w:lvlJc w:val="left"/>
      <w:pPr>
        <w:ind w:left="1776" w:hanging="360"/>
      </w:pPr>
      <w:rPr>
        <w:rFonts w:hint="default"/>
      </w:rPr>
    </w:lvl>
    <w:lvl w:ilvl="1" w:tplc="043E0019" w:tentative="1">
      <w:start w:val="1"/>
      <w:numFmt w:val="lowerLetter"/>
      <w:lvlText w:val="%2."/>
      <w:lvlJc w:val="left"/>
      <w:pPr>
        <w:ind w:left="2496" w:hanging="360"/>
      </w:pPr>
    </w:lvl>
    <w:lvl w:ilvl="2" w:tplc="043E001B" w:tentative="1">
      <w:start w:val="1"/>
      <w:numFmt w:val="lowerRoman"/>
      <w:lvlText w:val="%3."/>
      <w:lvlJc w:val="right"/>
      <w:pPr>
        <w:ind w:left="3216" w:hanging="180"/>
      </w:pPr>
    </w:lvl>
    <w:lvl w:ilvl="3" w:tplc="043E000F" w:tentative="1">
      <w:start w:val="1"/>
      <w:numFmt w:val="decimal"/>
      <w:lvlText w:val="%4."/>
      <w:lvlJc w:val="left"/>
      <w:pPr>
        <w:ind w:left="3936" w:hanging="360"/>
      </w:pPr>
    </w:lvl>
    <w:lvl w:ilvl="4" w:tplc="043E0019" w:tentative="1">
      <w:start w:val="1"/>
      <w:numFmt w:val="lowerLetter"/>
      <w:lvlText w:val="%5."/>
      <w:lvlJc w:val="left"/>
      <w:pPr>
        <w:ind w:left="4656" w:hanging="360"/>
      </w:pPr>
    </w:lvl>
    <w:lvl w:ilvl="5" w:tplc="043E001B" w:tentative="1">
      <w:start w:val="1"/>
      <w:numFmt w:val="lowerRoman"/>
      <w:lvlText w:val="%6."/>
      <w:lvlJc w:val="right"/>
      <w:pPr>
        <w:ind w:left="5376" w:hanging="180"/>
      </w:pPr>
    </w:lvl>
    <w:lvl w:ilvl="6" w:tplc="043E000F" w:tentative="1">
      <w:start w:val="1"/>
      <w:numFmt w:val="decimal"/>
      <w:lvlText w:val="%7."/>
      <w:lvlJc w:val="left"/>
      <w:pPr>
        <w:ind w:left="6096" w:hanging="360"/>
      </w:pPr>
    </w:lvl>
    <w:lvl w:ilvl="7" w:tplc="043E0019" w:tentative="1">
      <w:start w:val="1"/>
      <w:numFmt w:val="lowerLetter"/>
      <w:lvlText w:val="%8."/>
      <w:lvlJc w:val="left"/>
      <w:pPr>
        <w:ind w:left="6816" w:hanging="360"/>
      </w:pPr>
    </w:lvl>
    <w:lvl w:ilvl="8" w:tplc="043E001B" w:tentative="1">
      <w:start w:val="1"/>
      <w:numFmt w:val="lowerRoman"/>
      <w:lvlText w:val="%9."/>
      <w:lvlJc w:val="right"/>
      <w:pPr>
        <w:ind w:left="7536" w:hanging="180"/>
      </w:p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9"/>
  </w:num>
  <w:num w:numId="12">
    <w:abstractNumId w:val="16"/>
  </w:num>
  <w:num w:numId="13">
    <w:abstractNumId w:val="12"/>
  </w:num>
  <w:num w:numId="14">
    <w:abstractNumId w:val="10"/>
    <w:lvlOverride w:ilvl="0">
      <w:lvl w:ilvl="0">
        <w:numFmt w:val="bullet"/>
        <w:lvlText w:val=""/>
        <w:legacy w:legacy="1" w:legacySpace="0" w:legacyIndent="360"/>
        <w:lvlJc w:val="left"/>
        <w:pPr>
          <w:ind w:left="360" w:hanging="360"/>
        </w:pPr>
        <w:rPr>
          <w:rFonts w:ascii="Symbol" w:hAnsi="Symbol" w:hint="default"/>
        </w:rPr>
      </w:lvl>
    </w:lvlOverride>
  </w:num>
  <w:num w:numId="15">
    <w:abstractNumId w:val="23"/>
  </w:num>
  <w:num w:numId="16">
    <w:abstractNumId w:val="26"/>
  </w:num>
  <w:num w:numId="17">
    <w:abstractNumId w:val="35"/>
  </w:num>
  <w:num w:numId="18">
    <w:abstractNumId w:val="15"/>
  </w:num>
  <w:num w:numId="19">
    <w:abstractNumId w:val="41"/>
  </w:num>
  <w:num w:numId="20">
    <w:abstractNumId w:val="31"/>
  </w:num>
  <w:num w:numId="21">
    <w:abstractNumId w:val="17"/>
  </w:num>
  <w:num w:numId="22">
    <w:abstractNumId w:val="20"/>
  </w:num>
  <w:num w:numId="23">
    <w:abstractNumId w:val="24"/>
  </w:num>
  <w:num w:numId="24">
    <w:abstractNumId w:val="30"/>
  </w:num>
  <w:num w:numId="25">
    <w:abstractNumId w:val="14"/>
  </w:num>
  <w:num w:numId="26">
    <w:abstractNumId w:val="29"/>
  </w:num>
  <w:num w:numId="27">
    <w:abstractNumId w:val="36"/>
  </w:num>
  <w:num w:numId="28">
    <w:abstractNumId w:val="22"/>
  </w:num>
  <w:num w:numId="29">
    <w:abstractNumId w:val="18"/>
  </w:num>
  <w:num w:numId="30">
    <w:abstractNumId w:val="21"/>
  </w:num>
  <w:num w:numId="31">
    <w:abstractNumId w:val="42"/>
  </w:num>
  <w:num w:numId="32">
    <w:abstractNumId w:val="32"/>
  </w:num>
  <w:num w:numId="33">
    <w:abstractNumId w:val="34"/>
  </w:num>
  <w:num w:numId="34">
    <w:abstractNumId w:val="37"/>
  </w:num>
  <w:num w:numId="35">
    <w:abstractNumId w:val="33"/>
  </w:num>
  <w:num w:numId="36">
    <w:abstractNumId w:val="28"/>
  </w:num>
  <w:num w:numId="37">
    <w:abstractNumId w:val="11"/>
  </w:num>
  <w:num w:numId="38">
    <w:abstractNumId w:val="25"/>
  </w:num>
  <w:num w:numId="39">
    <w:abstractNumId w:val="19"/>
  </w:num>
  <w:num w:numId="40">
    <w:abstractNumId w:val="38"/>
  </w:num>
  <w:num w:numId="41">
    <w:abstractNumId w:val="13"/>
  </w:num>
  <w:num w:numId="42">
    <w:abstractNumId w:val="27"/>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2D8"/>
    <w:rsid w:val="00001921"/>
    <w:rsid w:val="000100E1"/>
    <w:rsid w:val="00010AE8"/>
    <w:rsid w:val="000217BF"/>
    <w:rsid w:val="00035188"/>
    <w:rsid w:val="00036703"/>
    <w:rsid w:val="00036C71"/>
    <w:rsid w:val="00036E2F"/>
    <w:rsid w:val="000376B7"/>
    <w:rsid w:val="0005680D"/>
    <w:rsid w:val="00060A7C"/>
    <w:rsid w:val="00060E3E"/>
    <w:rsid w:val="000647E8"/>
    <w:rsid w:val="00070653"/>
    <w:rsid w:val="00073DF5"/>
    <w:rsid w:val="00074673"/>
    <w:rsid w:val="00076284"/>
    <w:rsid w:val="00080F16"/>
    <w:rsid w:val="00083BD6"/>
    <w:rsid w:val="000847A2"/>
    <w:rsid w:val="0009256A"/>
    <w:rsid w:val="000A21FB"/>
    <w:rsid w:val="000A4538"/>
    <w:rsid w:val="000A471F"/>
    <w:rsid w:val="000A78CB"/>
    <w:rsid w:val="000B5039"/>
    <w:rsid w:val="000C36B8"/>
    <w:rsid w:val="000D12AC"/>
    <w:rsid w:val="000D35CE"/>
    <w:rsid w:val="000D6549"/>
    <w:rsid w:val="000D69C7"/>
    <w:rsid w:val="000E155E"/>
    <w:rsid w:val="000E2D40"/>
    <w:rsid w:val="000E7A45"/>
    <w:rsid w:val="000F77E0"/>
    <w:rsid w:val="00100F6B"/>
    <w:rsid w:val="00101FD3"/>
    <w:rsid w:val="00102DB2"/>
    <w:rsid w:val="00112024"/>
    <w:rsid w:val="00114090"/>
    <w:rsid w:val="00114FCD"/>
    <w:rsid w:val="00116276"/>
    <w:rsid w:val="00122889"/>
    <w:rsid w:val="00133EB7"/>
    <w:rsid w:val="0013410F"/>
    <w:rsid w:val="00137FD4"/>
    <w:rsid w:val="001430F1"/>
    <w:rsid w:val="0014373E"/>
    <w:rsid w:val="00146C06"/>
    <w:rsid w:val="00154AB1"/>
    <w:rsid w:val="00157F0C"/>
    <w:rsid w:val="0016249A"/>
    <w:rsid w:val="00166A7D"/>
    <w:rsid w:val="00173513"/>
    <w:rsid w:val="00174510"/>
    <w:rsid w:val="00177B0E"/>
    <w:rsid w:val="0018241B"/>
    <w:rsid w:val="00184134"/>
    <w:rsid w:val="00185261"/>
    <w:rsid w:val="00185B0C"/>
    <w:rsid w:val="00193CCC"/>
    <w:rsid w:val="00193FC0"/>
    <w:rsid w:val="00195D64"/>
    <w:rsid w:val="00197BE1"/>
    <w:rsid w:val="001A0AD4"/>
    <w:rsid w:val="001B07F6"/>
    <w:rsid w:val="001D08C1"/>
    <w:rsid w:val="001D291D"/>
    <w:rsid w:val="001D3376"/>
    <w:rsid w:val="001D4C03"/>
    <w:rsid w:val="001D660E"/>
    <w:rsid w:val="001D7349"/>
    <w:rsid w:val="001E0BEB"/>
    <w:rsid w:val="001E1987"/>
    <w:rsid w:val="001F26D2"/>
    <w:rsid w:val="00203C41"/>
    <w:rsid w:val="00206089"/>
    <w:rsid w:val="00207524"/>
    <w:rsid w:val="0021052E"/>
    <w:rsid w:val="0021063A"/>
    <w:rsid w:val="00210CD6"/>
    <w:rsid w:val="0022093F"/>
    <w:rsid w:val="00224074"/>
    <w:rsid w:val="00232432"/>
    <w:rsid w:val="00243264"/>
    <w:rsid w:val="00252496"/>
    <w:rsid w:val="00252C39"/>
    <w:rsid w:val="00255984"/>
    <w:rsid w:val="0025731D"/>
    <w:rsid w:val="0026347E"/>
    <w:rsid w:val="0026536C"/>
    <w:rsid w:val="00266BEC"/>
    <w:rsid w:val="00277754"/>
    <w:rsid w:val="00287BF4"/>
    <w:rsid w:val="00291AE1"/>
    <w:rsid w:val="00292CB6"/>
    <w:rsid w:val="002A05A5"/>
    <w:rsid w:val="002B092C"/>
    <w:rsid w:val="002B178F"/>
    <w:rsid w:val="002B7079"/>
    <w:rsid w:val="002B73B3"/>
    <w:rsid w:val="002B7BA7"/>
    <w:rsid w:val="002C1577"/>
    <w:rsid w:val="002C1A27"/>
    <w:rsid w:val="002D042D"/>
    <w:rsid w:val="002D7C4E"/>
    <w:rsid w:val="002E04F9"/>
    <w:rsid w:val="002E31D3"/>
    <w:rsid w:val="002E3303"/>
    <w:rsid w:val="002E57CD"/>
    <w:rsid w:val="002E5B08"/>
    <w:rsid w:val="002E7572"/>
    <w:rsid w:val="002F20B4"/>
    <w:rsid w:val="002F2631"/>
    <w:rsid w:val="002F4FC3"/>
    <w:rsid w:val="00301368"/>
    <w:rsid w:val="0030655A"/>
    <w:rsid w:val="00311E60"/>
    <w:rsid w:val="00314130"/>
    <w:rsid w:val="003213AD"/>
    <w:rsid w:val="003243F3"/>
    <w:rsid w:val="00326373"/>
    <w:rsid w:val="003277DC"/>
    <w:rsid w:val="00332CCF"/>
    <w:rsid w:val="00334085"/>
    <w:rsid w:val="003371BA"/>
    <w:rsid w:val="00342537"/>
    <w:rsid w:val="00351898"/>
    <w:rsid w:val="00353A19"/>
    <w:rsid w:val="00355FAB"/>
    <w:rsid w:val="00360245"/>
    <w:rsid w:val="0037152F"/>
    <w:rsid w:val="00375827"/>
    <w:rsid w:val="003809EC"/>
    <w:rsid w:val="0038171E"/>
    <w:rsid w:val="00382151"/>
    <w:rsid w:val="00382F44"/>
    <w:rsid w:val="00383F71"/>
    <w:rsid w:val="003840E7"/>
    <w:rsid w:val="003862AC"/>
    <w:rsid w:val="003862EA"/>
    <w:rsid w:val="00393719"/>
    <w:rsid w:val="00393AF1"/>
    <w:rsid w:val="0039404F"/>
    <w:rsid w:val="00394D95"/>
    <w:rsid w:val="00397C67"/>
    <w:rsid w:val="003A07FB"/>
    <w:rsid w:val="003A2C3A"/>
    <w:rsid w:val="003A3912"/>
    <w:rsid w:val="003A457E"/>
    <w:rsid w:val="003A5876"/>
    <w:rsid w:val="003A5F91"/>
    <w:rsid w:val="003A774C"/>
    <w:rsid w:val="003A7BA4"/>
    <w:rsid w:val="003B18EE"/>
    <w:rsid w:val="003B4E85"/>
    <w:rsid w:val="003C2D07"/>
    <w:rsid w:val="003C5854"/>
    <w:rsid w:val="003D26F0"/>
    <w:rsid w:val="003D4910"/>
    <w:rsid w:val="003D5A68"/>
    <w:rsid w:val="003E07F2"/>
    <w:rsid w:val="003E15C4"/>
    <w:rsid w:val="003E1F08"/>
    <w:rsid w:val="003E424B"/>
    <w:rsid w:val="003E6649"/>
    <w:rsid w:val="003F07D0"/>
    <w:rsid w:val="003F1CAD"/>
    <w:rsid w:val="00403E7B"/>
    <w:rsid w:val="00403F60"/>
    <w:rsid w:val="0040593A"/>
    <w:rsid w:val="00407B1E"/>
    <w:rsid w:val="00414135"/>
    <w:rsid w:val="004157B0"/>
    <w:rsid w:val="00426571"/>
    <w:rsid w:val="00426FB0"/>
    <w:rsid w:val="00430A94"/>
    <w:rsid w:val="0043478C"/>
    <w:rsid w:val="004374E0"/>
    <w:rsid w:val="004435BC"/>
    <w:rsid w:val="0044369A"/>
    <w:rsid w:val="004449C1"/>
    <w:rsid w:val="00452E30"/>
    <w:rsid w:val="004533C4"/>
    <w:rsid w:val="004538E7"/>
    <w:rsid w:val="00453EA8"/>
    <w:rsid w:val="004542A5"/>
    <w:rsid w:val="00455639"/>
    <w:rsid w:val="00455650"/>
    <w:rsid w:val="0045614D"/>
    <w:rsid w:val="00462B75"/>
    <w:rsid w:val="004639DB"/>
    <w:rsid w:val="00467B92"/>
    <w:rsid w:val="00471A58"/>
    <w:rsid w:val="004723B7"/>
    <w:rsid w:val="0047325D"/>
    <w:rsid w:val="00473929"/>
    <w:rsid w:val="00476503"/>
    <w:rsid w:val="0047760D"/>
    <w:rsid w:val="0048476B"/>
    <w:rsid w:val="00487D66"/>
    <w:rsid w:val="004A084B"/>
    <w:rsid w:val="004A2941"/>
    <w:rsid w:val="004A55D7"/>
    <w:rsid w:val="004A665F"/>
    <w:rsid w:val="004B1BA2"/>
    <w:rsid w:val="004C0D53"/>
    <w:rsid w:val="004C1CC5"/>
    <w:rsid w:val="004C5ADA"/>
    <w:rsid w:val="004C63ED"/>
    <w:rsid w:val="004D49D9"/>
    <w:rsid w:val="004E2B1B"/>
    <w:rsid w:val="004E55BA"/>
    <w:rsid w:val="00500E1D"/>
    <w:rsid w:val="00501A00"/>
    <w:rsid w:val="00505BEC"/>
    <w:rsid w:val="00506706"/>
    <w:rsid w:val="00510875"/>
    <w:rsid w:val="00512245"/>
    <w:rsid w:val="00516BB3"/>
    <w:rsid w:val="00517878"/>
    <w:rsid w:val="005206EF"/>
    <w:rsid w:val="00523E0B"/>
    <w:rsid w:val="00524ED1"/>
    <w:rsid w:val="00527F5F"/>
    <w:rsid w:val="005347CF"/>
    <w:rsid w:val="00535571"/>
    <w:rsid w:val="00535D73"/>
    <w:rsid w:val="00543578"/>
    <w:rsid w:val="00547743"/>
    <w:rsid w:val="005502E8"/>
    <w:rsid w:val="00555A29"/>
    <w:rsid w:val="00562537"/>
    <w:rsid w:val="00563721"/>
    <w:rsid w:val="005640E8"/>
    <w:rsid w:val="00567AD0"/>
    <w:rsid w:val="00571F53"/>
    <w:rsid w:val="00573558"/>
    <w:rsid w:val="005904E0"/>
    <w:rsid w:val="00591F98"/>
    <w:rsid w:val="005A1C7B"/>
    <w:rsid w:val="005A612D"/>
    <w:rsid w:val="005A78A6"/>
    <w:rsid w:val="005B12CF"/>
    <w:rsid w:val="005C0812"/>
    <w:rsid w:val="005C10F3"/>
    <w:rsid w:val="005D165F"/>
    <w:rsid w:val="005D39EE"/>
    <w:rsid w:val="005D409C"/>
    <w:rsid w:val="005D426B"/>
    <w:rsid w:val="005E55D3"/>
    <w:rsid w:val="005E767E"/>
    <w:rsid w:val="005F0876"/>
    <w:rsid w:val="005F35D0"/>
    <w:rsid w:val="00602524"/>
    <w:rsid w:val="00605B3B"/>
    <w:rsid w:val="00620BEF"/>
    <w:rsid w:val="00626F7E"/>
    <w:rsid w:val="006271C2"/>
    <w:rsid w:val="00627E6D"/>
    <w:rsid w:val="00631051"/>
    <w:rsid w:val="00631DA5"/>
    <w:rsid w:val="006342ED"/>
    <w:rsid w:val="006356D0"/>
    <w:rsid w:val="006361F4"/>
    <w:rsid w:val="0063711F"/>
    <w:rsid w:val="006441C1"/>
    <w:rsid w:val="00646561"/>
    <w:rsid w:val="00646C30"/>
    <w:rsid w:val="00647B27"/>
    <w:rsid w:val="00654D13"/>
    <w:rsid w:val="00657B34"/>
    <w:rsid w:val="00661E11"/>
    <w:rsid w:val="0066568C"/>
    <w:rsid w:val="006769EA"/>
    <w:rsid w:val="00681225"/>
    <w:rsid w:val="0068231C"/>
    <w:rsid w:val="00685854"/>
    <w:rsid w:val="00692D17"/>
    <w:rsid w:val="00693919"/>
    <w:rsid w:val="00697DAE"/>
    <w:rsid w:val="006A1B73"/>
    <w:rsid w:val="006A7B27"/>
    <w:rsid w:val="006B31DA"/>
    <w:rsid w:val="006B678B"/>
    <w:rsid w:val="006C0F5F"/>
    <w:rsid w:val="006C1DDC"/>
    <w:rsid w:val="006E6746"/>
    <w:rsid w:val="006E7E5E"/>
    <w:rsid w:val="006E7F99"/>
    <w:rsid w:val="006F3212"/>
    <w:rsid w:val="006F728F"/>
    <w:rsid w:val="007004B5"/>
    <w:rsid w:val="00704047"/>
    <w:rsid w:val="00705E15"/>
    <w:rsid w:val="00706593"/>
    <w:rsid w:val="00707D0F"/>
    <w:rsid w:val="00716B27"/>
    <w:rsid w:val="0073014F"/>
    <w:rsid w:val="00731116"/>
    <w:rsid w:val="007311F7"/>
    <w:rsid w:val="00733448"/>
    <w:rsid w:val="00733BF0"/>
    <w:rsid w:val="00736C27"/>
    <w:rsid w:val="00742963"/>
    <w:rsid w:val="0074650F"/>
    <w:rsid w:val="00747103"/>
    <w:rsid w:val="00750D9D"/>
    <w:rsid w:val="007544EB"/>
    <w:rsid w:val="007554A2"/>
    <w:rsid w:val="00755863"/>
    <w:rsid w:val="0075646A"/>
    <w:rsid w:val="0076025A"/>
    <w:rsid w:val="007658AB"/>
    <w:rsid w:val="00766E7C"/>
    <w:rsid w:val="00767E14"/>
    <w:rsid w:val="0077254E"/>
    <w:rsid w:val="007745C6"/>
    <w:rsid w:val="00780CA5"/>
    <w:rsid w:val="00783551"/>
    <w:rsid w:val="00786BB6"/>
    <w:rsid w:val="007914C4"/>
    <w:rsid w:val="00794AE6"/>
    <w:rsid w:val="007A0290"/>
    <w:rsid w:val="007A7472"/>
    <w:rsid w:val="007A7714"/>
    <w:rsid w:val="007B201C"/>
    <w:rsid w:val="007B209B"/>
    <w:rsid w:val="007B41E4"/>
    <w:rsid w:val="007C28FA"/>
    <w:rsid w:val="007C40AD"/>
    <w:rsid w:val="007C68B7"/>
    <w:rsid w:val="007D54D1"/>
    <w:rsid w:val="007F1FEB"/>
    <w:rsid w:val="007F2433"/>
    <w:rsid w:val="007F44AE"/>
    <w:rsid w:val="007F598B"/>
    <w:rsid w:val="00801B1E"/>
    <w:rsid w:val="008040B3"/>
    <w:rsid w:val="00804F4B"/>
    <w:rsid w:val="008055CB"/>
    <w:rsid w:val="0081513F"/>
    <w:rsid w:val="008154AD"/>
    <w:rsid w:val="00816804"/>
    <w:rsid w:val="008259D3"/>
    <w:rsid w:val="00826232"/>
    <w:rsid w:val="008316CB"/>
    <w:rsid w:val="00835079"/>
    <w:rsid w:val="00835EE8"/>
    <w:rsid w:val="00836CA6"/>
    <w:rsid w:val="00840FE6"/>
    <w:rsid w:val="00842573"/>
    <w:rsid w:val="00846ECD"/>
    <w:rsid w:val="00853B01"/>
    <w:rsid w:val="0085577E"/>
    <w:rsid w:val="00856E3C"/>
    <w:rsid w:val="0086282B"/>
    <w:rsid w:val="00870AD9"/>
    <w:rsid w:val="00875D1C"/>
    <w:rsid w:val="00880F02"/>
    <w:rsid w:val="008815DB"/>
    <w:rsid w:val="00881D1D"/>
    <w:rsid w:val="00883010"/>
    <w:rsid w:val="00884E52"/>
    <w:rsid w:val="00885506"/>
    <w:rsid w:val="00886738"/>
    <w:rsid w:val="00886756"/>
    <w:rsid w:val="00887257"/>
    <w:rsid w:val="00895567"/>
    <w:rsid w:val="008A04CB"/>
    <w:rsid w:val="008A4912"/>
    <w:rsid w:val="008A5654"/>
    <w:rsid w:val="008A58AB"/>
    <w:rsid w:val="008A7793"/>
    <w:rsid w:val="008A7B2E"/>
    <w:rsid w:val="008B3F4F"/>
    <w:rsid w:val="008B751E"/>
    <w:rsid w:val="008B7660"/>
    <w:rsid w:val="008B7B71"/>
    <w:rsid w:val="008C0324"/>
    <w:rsid w:val="008D0CDC"/>
    <w:rsid w:val="008D1BAD"/>
    <w:rsid w:val="008D37F5"/>
    <w:rsid w:val="008D5D72"/>
    <w:rsid w:val="008D79FE"/>
    <w:rsid w:val="008E781D"/>
    <w:rsid w:val="008F1754"/>
    <w:rsid w:val="008F249A"/>
    <w:rsid w:val="008F6755"/>
    <w:rsid w:val="00910286"/>
    <w:rsid w:val="00910D8B"/>
    <w:rsid w:val="00912E9E"/>
    <w:rsid w:val="00917B36"/>
    <w:rsid w:val="00937CD8"/>
    <w:rsid w:val="00940DD3"/>
    <w:rsid w:val="00941B37"/>
    <w:rsid w:val="00942A81"/>
    <w:rsid w:val="00943675"/>
    <w:rsid w:val="0095172B"/>
    <w:rsid w:val="00952A68"/>
    <w:rsid w:val="009652CD"/>
    <w:rsid w:val="0096645F"/>
    <w:rsid w:val="00974895"/>
    <w:rsid w:val="00977071"/>
    <w:rsid w:val="00980D34"/>
    <w:rsid w:val="009831F3"/>
    <w:rsid w:val="0098520B"/>
    <w:rsid w:val="00987C34"/>
    <w:rsid w:val="009A4A8E"/>
    <w:rsid w:val="009A7878"/>
    <w:rsid w:val="009C0181"/>
    <w:rsid w:val="009C1325"/>
    <w:rsid w:val="009C2195"/>
    <w:rsid w:val="009C28B2"/>
    <w:rsid w:val="009C6BEE"/>
    <w:rsid w:val="009C6FE8"/>
    <w:rsid w:val="009D1B81"/>
    <w:rsid w:val="009D2884"/>
    <w:rsid w:val="009D6EAD"/>
    <w:rsid w:val="009E1472"/>
    <w:rsid w:val="009E4449"/>
    <w:rsid w:val="009E65D5"/>
    <w:rsid w:val="009F20A3"/>
    <w:rsid w:val="009F7439"/>
    <w:rsid w:val="009F760F"/>
    <w:rsid w:val="00A00A27"/>
    <w:rsid w:val="00A014D4"/>
    <w:rsid w:val="00A015A3"/>
    <w:rsid w:val="00A03607"/>
    <w:rsid w:val="00A04316"/>
    <w:rsid w:val="00A04D35"/>
    <w:rsid w:val="00A14EB0"/>
    <w:rsid w:val="00A15772"/>
    <w:rsid w:val="00A15CAF"/>
    <w:rsid w:val="00A200CC"/>
    <w:rsid w:val="00A24CE6"/>
    <w:rsid w:val="00A300EE"/>
    <w:rsid w:val="00A30AF9"/>
    <w:rsid w:val="00A326F5"/>
    <w:rsid w:val="00A328FE"/>
    <w:rsid w:val="00A34E7F"/>
    <w:rsid w:val="00A34F8E"/>
    <w:rsid w:val="00A36528"/>
    <w:rsid w:val="00A37F00"/>
    <w:rsid w:val="00A42999"/>
    <w:rsid w:val="00A439FE"/>
    <w:rsid w:val="00A452D4"/>
    <w:rsid w:val="00A474A8"/>
    <w:rsid w:val="00A664F9"/>
    <w:rsid w:val="00A66C98"/>
    <w:rsid w:val="00A679DF"/>
    <w:rsid w:val="00A75819"/>
    <w:rsid w:val="00A76C49"/>
    <w:rsid w:val="00A87923"/>
    <w:rsid w:val="00A9299B"/>
    <w:rsid w:val="00A956E2"/>
    <w:rsid w:val="00A9753D"/>
    <w:rsid w:val="00AA17F7"/>
    <w:rsid w:val="00AA1D25"/>
    <w:rsid w:val="00AA4D96"/>
    <w:rsid w:val="00AB0F4B"/>
    <w:rsid w:val="00AB2AFA"/>
    <w:rsid w:val="00AB5008"/>
    <w:rsid w:val="00AC61B2"/>
    <w:rsid w:val="00AD58C5"/>
    <w:rsid w:val="00AD7B68"/>
    <w:rsid w:val="00AE379F"/>
    <w:rsid w:val="00AE496E"/>
    <w:rsid w:val="00AF2FEC"/>
    <w:rsid w:val="00B00475"/>
    <w:rsid w:val="00B04534"/>
    <w:rsid w:val="00B162C3"/>
    <w:rsid w:val="00B20601"/>
    <w:rsid w:val="00B33997"/>
    <w:rsid w:val="00B35AD3"/>
    <w:rsid w:val="00B40A30"/>
    <w:rsid w:val="00B41F59"/>
    <w:rsid w:val="00B431D0"/>
    <w:rsid w:val="00B44620"/>
    <w:rsid w:val="00B447D7"/>
    <w:rsid w:val="00B464C6"/>
    <w:rsid w:val="00B503D4"/>
    <w:rsid w:val="00B54E3C"/>
    <w:rsid w:val="00B5558C"/>
    <w:rsid w:val="00B62CCC"/>
    <w:rsid w:val="00B6351B"/>
    <w:rsid w:val="00B63F7E"/>
    <w:rsid w:val="00B641AB"/>
    <w:rsid w:val="00B656A3"/>
    <w:rsid w:val="00B65F70"/>
    <w:rsid w:val="00B670B3"/>
    <w:rsid w:val="00B729F6"/>
    <w:rsid w:val="00B76018"/>
    <w:rsid w:val="00B813D0"/>
    <w:rsid w:val="00B820E7"/>
    <w:rsid w:val="00B83EDF"/>
    <w:rsid w:val="00BA2DE6"/>
    <w:rsid w:val="00BB1044"/>
    <w:rsid w:val="00BB7732"/>
    <w:rsid w:val="00BC0199"/>
    <w:rsid w:val="00BC06CD"/>
    <w:rsid w:val="00BC335C"/>
    <w:rsid w:val="00BC458F"/>
    <w:rsid w:val="00BD04BA"/>
    <w:rsid w:val="00BD0A1C"/>
    <w:rsid w:val="00BD2E5D"/>
    <w:rsid w:val="00BE0A57"/>
    <w:rsid w:val="00BE1248"/>
    <w:rsid w:val="00BE490D"/>
    <w:rsid w:val="00BE5BD2"/>
    <w:rsid w:val="00BE7929"/>
    <w:rsid w:val="00BE7B79"/>
    <w:rsid w:val="00BF6973"/>
    <w:rsid w:val="00BF702F"/>
    <w:rsid w:val="00BF7326"/>
    <w:rsid w:val="00C05FB4"/>
    <w:rsid w:val="00C11645"/>
    <w:rsid w:val="00C15B6B"/>
    <w:rsid w:val="00C15C77"/>
    <w:rsid w:val="00C16DCC"/>
    <w:rsid w:val="00C2151C"/>
    <w:rsid w:val="00C21935"/>
    <w:rsid w:val="00C21B8C"/>
    <w:rsid w:val="00C254EE"/>
    <w:rsid w:val="00C31515"/>
    <w:rsid w:val="00C329B0"/>
    <w:rsid w:val="00C3555C"/>
    <w:rsid w:val="00C35F30"/>
    <w:rsid w:val="00C43876"/>
    <w:rsid w:val="00C457F5"/>
    <w:rsid w:val="00C45892"/>
    <w:rsid w:val="00C45D0C"/>
    <w:rsid w:val="00C506CC"/>
    <w:rsid w:val="00C519D4"/>
    <w:rsid w:val="00C53CE3"/>
    <w:rsid w:val="00C6299F"/>
    <w:rsid w:val="00C66EAE"/>
    <w:rsid w:val="00C715BA"/>
    <w:rsid w:val="00C80E99"/>
    <w:rsid w:val="00C829BE"/>
    <w:rsid w:val="00C8402C"/>
    <w:rsid w:val="00C85135"/>
    <w:rsid w:val="00C868F0"/>
    <w:rsid w:val="00C86D08"/>
    <w:rsid w:val="00C91C21"/>
    <w:rsid w:val="00C93A90"/>
    <w:rsid w:val="00C97E0D"/>
    <w:rsid w:val="00CA07AD"/>
    <w:rsid w:val="00CA2AF6"/>
    <w:rsid w:val="00CA2DD6"/>
    <w:rsid w:val="00CA4DFB"/>
    <w:rsid w:val="00CA6812"/>
    <w:rsid w:val="00CB164F"/>
    <w:rsid w:val="00CB17F1"/>
    <w:rsid w:val="00CB1843"/>
    <w:rsid w:val="00CB2628"/>
    <w:rsid w:val="00CB52D6"/>
    <w:rsid w:val="00CB5523"/>
    <w:rsid w:val="00CB6078"/>
    <w:rsid w:val="00CB7899"/>
    <w:rsid w:val="00CB7931"/>
    <w:rsid w:val="00CC0EF7"/>
    <w:rsid w:val="00CC702B"/>
    <w:rsid w:val="00CD3B3F"/>
    <w:rsid w:val="00CD6887"/>
    <w:rsid w:val="00CE550B"/>
    <w:rsid w:val="00CE5867"/>
    <w:rsid w:val="00CF10D9"/>
    <w:rsid w:val="00CF611C"/>
    <w:rsid w:val="00CF78B3"/>
    <w:rsid w:val="00D120B7"/>
    <w:rsid w:val="00D14003"/>
    <w:rsid w:val="00D26B5E"/>
    <w:rsid w:val="00D26D08"/>
    <w:rsid w:val="00D32FCE"/>
    <w:rsid w:val="00D33E9E"/>
    <w:rsid w:val="00D341EF"/>
    <w:rsid w:val="00D431AB"/>
    <w:rsid w:val="00D43FCC"/>
    <w:rsid w:val="00D4402A"/>
    <w:rsid w:val="00D4573D"/>
    <w:rsid w:val="00D53113"/>
    <w:rsid w:val="00D5353C"/>
    <w:rsid w:val="00D5361C"/>
    <w:rsid w:val="00D5475B"/>
    <w:rsid w:val="00D554AC"/>
    <w:rsid w:val="00D6322E"/>
    <w:rsid w:val="00D6788D"/>
    <w:rsid w:val="00D7008D"/>
    <w:rsid w:val="00D71F90"/>
    <w:rsid w:val="00D72461"/>
    <w:rsid w:val="00D755F3"/>
    <w:rsid w:val="00D810B4"/>
    <w:rsid w:val="00D82A10"/>
    <w:rsid w:val="00D87633"/>
    <w:rsid w:val="00D954E8"/>
    <w:rsid w:val="00DA2BA2"/>
    <w:rsid w:val="00DA2E55"/>
    <w:rsid w:val="00DA7AEB"/>
    <w:rsid w:val="00DB1591"/>
    <w:rsid w:val="00DB3F9F"/>
    <w:rsid w:val="00DD09C0"/>
    <w:rsid w:val="00DD478B"/>
    <w:rsid w:val="00DD4901"/>
    <w:rsid w:val="00DD4E76"/>
    <w:rsid w:val="00DD5589"/>
    <w:rsid w:val="00DD6BE4"/>
    <w:rsid w:val="00DE578B"/>
    <w:rsid w:val="00DE6553"/>
    <w:rsid w:val="00E004B4"/>
    <w:rsid w:val="00E01335"/>
    <w:rsid w:val="00E055CF"/>
    <w:rsid w:val="00E058C0"/>
    <w:rsid w:val="00E10C2C"/>
    <w:rsid w:val="00E115D5"/>
    <w:rsid w:val="00E205E5"/>
    <w:rsid w:val="00E26027"/>
    <w:rsid w:val="00E26BD2"/>
    <w:rsid w:val="00E26DB5"/>
    <w:rsid w:val="00E309EE"/>
    <w:rsid w:val="00E36A1D"/>
    <w:rsid w:val="00E44EE2"/>
    <w:rsid w:val="00E534A4"/>
    <w:rsid w:val="00E60319"/>
    <w:rsid w:val="00E62B72"/>
    <w:rsid w:val="00E668B7"/>
    <w:rsid w:val="00E70346"/>
    <w:rsid w:val="00E7327C"/>
    <w:rsid w:val="00E752F8"/>
    <w:rsid w:val="00E831B5"/>
    <w:rsid w:val="00E9257E"/>
    <w:rsid w:val="00E942E3"/>
    <w:rsid w:val="00E95759"/>
    <w:rsid w:val="00E95CEA"/>
    <w:rsid w:val="00E95F70"/>
    <w:rsid w:val="00EA1F0E"/>
    <w:rsid w:val="00EA5F76"/>
    <w:rsid w:val="00EB2A10"/>
    <w:rsid w:val="00EB50DE"/>
    <w:rsid w:val="00EB7D80"/>
    <w:rsid w:val="00EC1865"/>
    <w:rsid w:val="00EC5EA1"/>
    <w:rsid w:val="00ED0A1D"/>
    <w:rsid w:val="00ED1B51"/>
    <w:rsid w:val="00ED4B16"/>
    <w:rsid w:val="00ED614C"/>
    <w:rsid w:val="00EE5822"/>
    <w:rsid w:val="00EE74A8"/>
    <w:rsid w:val="00EE74CE"/>
    <w:rsid w:val="00EF63A4"/>
    <w:rsid w:val="00F009E7"/>
    <w:rsid w:val="00F021A7"/>
    <w:rsid w:val="00F022B5"/>
    <w:rsid w:val="00F0288E"/>
    <w:rsid w:val="00F036A8"/>
    <w:rsid w:val="00F1112B"/>
    <w:rsid w:val="00F114C7"/>
    <w:rsid w:val="00F13807"/>
    <w:rsid w:val="00F13E48"/>
    <w:rsid w:val="00F17ED7"/>
    <w:rsid w:val="00F21D96"/>
    <w:rsid w:val="00F2448C"/>
    <w:rsid w:val="00F25C08"/>
    <w:rsid w:val="00F27039"/>
    <w:rsid w:val="00F312D8"/>
    <w:rsid w:val="00F36F9C"/>
    <w:rsid w:val="00F41AEA"/>
    <w:rsid w:val="00F4634F"/>
    <w:rsid w:val="00F51D42"/>
    <w:rsid w:val="00F536A5"/>
    <w:rsid w:val="00F554E6"/>
    <w:rsid w:val="00F629C7"/>
    <w:rsid w:val="00F63555"/>
    <w:rsid w:val="00F63EAC"/>
    <w:rsid w:val="00F66572"/>
    <w:rsid w:val="00F7089D"/>
    <w:rsid w:val="00F721A6"/>
    <w:rsid w:val="00F80C6A"/>
    <w:rsid w:val="00F81410"/>
    <w:rsid w:val="00F81B3C"/>
    <w:rsid w:val="00F841C1"/>
    <w:rsid w:val="00F84E94"/>
    <w:rsid w:val="00F8630D"/>
    <w:rsid w:val="00F865B3"/>
    <w:rsid w:val="00F909B3"/>
    <w:rsid w:val="00FA3A84"/>
    <w:rsid w:val="00FA5238"/>
    <w:rsid w:val="00FA6113"/>
    <w:rsid w:val="00FA6CAC"/>
    <w:rsid w:val="00FB07FF"/>
    <w:rsid w:val="00FB1727"/>
    <w:rsid w:val="00FB2BB6"/>
    <w:rsid w:val="00FB35F1"/>
    <w:rsid w:val="00FB43BE"/>
    <w:rsid w:val="00FB6C38"/>
    <w:rsid w:val="00FC6F69"/>
    <w:rsid w:val="00FC7215"/>
    <w:rsid w:val="00FD170F"/>
    <w:rsid w:val="00FD3DE7"/>
    <w:rsid w:val="00FE2475"/>
    <w:rsid w:val="00FE38D7"/>
    <w:rsid w:val="00FE4BA7"/>
    <w:rsid w:val="00FE5FA2"/>
    <w:rsid w:val="00FE68BD"/>
    <w:rsid w:val="00FF11ED"/>
    <w:rsid w:val="00FF1C66"/>
    <w:rsid w:val="00FF31F8"/>
  </w:rsids>
  <m:mathPr>
    <m:mathFont m:val="Cambria Math"/>
    <m:brkBin m:val="before"/>
    <m:brkBinSub m:val="--"/>
    <m:smallFrac/>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68F5A1"/>
  <w15:docId w15:val="{D3B73BC1-ED7B-4150-9F76-799909033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D478B"/>
    <w:pPr>
      <w:widowControl w:val="0"/>
    </w:pPr>
    <w:rPr>
      <w:noProof/>
      <w:snapToGrid w:val="0"/>
      <w:lang w:val="id-ID" w:eastAsia="en-US"/>
    </w:rPr>
  </w:style>
  <w:style w:type="paragraph" w:styleId="Heading1">
    <w:name w:val="heading 1"/>
    <w:basedOn w:val="Normal"/>
    <w:next w:val="Normal"/>
    <w:qFormat/>
    <w:rsid w:val="00DD478B"/>
    <w:pPr>
      <w:outlineLvl w:val="0"/>
    </w:pPr>
    <w:rPr>
      <w:sz w:val="24"/>
    </w:rPr>
  </w:style>
  <w:style w:type="paragraph" w:styleId="Heading2">
    <w:name w:val="heading 2"/>
    <w:basedOn w:val="Normal"/>
    <w:next w:val="Normal"/>
    <w:qFormat/>
    <w:rsid w:val="00DD478B"/>
    <w:pPr>
      <w:outlineLvl w:val="1"/>
    </w:pPr>
    <w:rPr>
      <w:sz w:val="24"/>
    </w:rPr>
  </w:style>
  <w:style w:type="paragraph" w:styleId="Heading3">
    <w:name w:val="heading 3"/>
    <w:basedOn w:val="Normal"/>
    <w:next w:val="Normal"/>
    <w:qFormat/>
    <w:rsid w:val="00DD478B"/>
    <w:pPr>
      <w:outlineLvl w:val="2"/>
    </w:pPr>
    <w:rPr>
      <w:sz w:val="22"/>
    </w:rPr>
  </w:style>
  <w:style w:type="paragraph" w:styleId="Heading4">
    <w:name w:val="heading 4"/>
    <w:basedOn w:val="Normal"/>
    <w:next w:val="Normal"/>
    <w:qFormat/>
    <w:rsid w:val="00DD478B"/>
    <w:pPr>
      <w:outlineLvl w:val="3"/>
    </w:pPr>
    <w:rPr>
      <w:sz w:val="22"/>
    </w:rPr>
  </w:style>
  <w:style w:type="paragraph" w:styleId="Heading5">
    <w:name w:val="heading 5"/>
    <w:basedOn w:val="Normal"/>
    <w:next w:val="Normal"/>
    <w:qFormat/>
    <w:rsid w:val="00DD478B"/>
    <w:pPr>
      <w:outlineLvl w:val="4"/>
    </w:pPr>
    <w:rPr>
      <w:sz w:val="22"/>
    </w:rPr>
  </w:style>
  <w:style w:type="paragraph" w:styleId="Heading6">
    <w:name w:val="heading 6"/>
    <w:basedOn w:val="Normal"/>
    <w:next w:val="Normal"/>
    <w:qFormat/>
    <w:rsid w:val="00DD478B"/>
    <w:pPr>
      <w:outlineLvl w:val="5"/>
    </w:pPr>
    <w:rPr>
      <w:rFonts w:ascii="Arial" w:hAnsi="Arial"/>
      <w:sz w:val="22"/>
    </w:rPr>
  </w:style>
  <w:style w:type="paragraph" w:styleId="Heading7">
    <w:name w:val="heading 7"/>
    <w:basedOn w:val="Normal"/>
    <w:next w:val="Normal"/>
    <w:qFormat/>
    <w:rsid w:val="00DD478B"/>
    <w:pPr>
      <w:outlineLvl w:val="6"/>
    </w:pPr>
    <w:rPr>
      <w:rFonts w:ascii="Arial" w:hAnsi="Arial"/>
      <w:sz w:val="18"/>
    </w:rPr>
  </w:style>
  <w:style w:type="paragraph" w:styleId="Heading8">
    <w:name w:val="heading 8"/>
    <w:basedOn w:val="Normal"/>
    <w:next w:val="Normal"/>
    <w:qFormat/>
    <w:rsid w:val="00DD478B"/>
    <w:pPr>
      <w:outlineLvl w:val="7"/>
    </w:pPr>
    <w:rPr>
      <w:rFonts w:ascii="Arial" w:hAnsi="Arial"/>
      <w:sz w:val="18"/>
    </w:rPr>
  </w:style>
  <w:style w:type="paragraph" w:styleId="Heading9">
    <w:name w:val="heading 9"/>
    <w:basedOn w:val="Normal"/>
    <w:next w:val="Normal"/>
    <w:qFormat/>
    <w:rsid w:val="00DD478B"/>
    <w:pPr>
      <w:outlineLvl w:val="8"/>
    </w:pPr>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D478B"/>
    <w:rPr>
      <w:color w:val="0000FF"/>
    </w:rPr>
  </w:style>
  <w:style w:type="paragraph" w:styleId="Header">
    <w:name w:val="header"/>
    <w:basedOn w:val="Normal"/>
    <w:link w:val="HeaderChar"/>
    <w:uiPriority w:val="99"/>
    <w:rsid w:val="00DD478B"/>
    <w:pPr>
      <w:tabs>
        <w:tab w:val="left" w:pos="0"/>
        <w:tab w:val="center" w:pos="4320"/>
        <w:tab w:val="right" w:pos="8640"/>
        <w:tab w:val="left" w:pos="9360"/>
        <w:tab w:val="left" w:pos="10080"/>
      </w:tabs>
    </w:pPr>
    <w:rPr>
      <w:sz w:val="18"/>
    </w:rPr>
  </w:style>
  <w:style w:type="paragraph" w:styleId="Caption">
    <w:name w:val="caption"/>
    <w:basedOn w:val="Normal"/>
    <w:next w:val="Normal"/>
    <w:qFormat/>
    <w:rsid w:val="00DD478B"/>
    <w:pPr>
      <w:jc w:val="center"/>
    </w:pPr>
    <w:rPr>
      <w:sz w:val="18"/>
    </w:rPr>
  </w:style>
  <w:style w:type="paragraph" w:styleId="DocumentMap">
    <w:name w:val="Document Map"/>
    <w:basedOn w:val="Normal"/>
    <w:semiHidden/>
    <w:rsid w:val="00DD478B"/>
    <w:rPr>
      <w:rFonts w:ascii="Tahoma" w:hAnsi="Tahoma"/>
      <w:sz w:val="18"/>
    </w:rPr>
  </w:style>
  <w:style w:type="paragraph" w:styleId="BodyTextIndent">
    <w:name w:val="Body Text Indent"/>
    <w:basedOn w:val="Normal"/>
    <w:rsid w:val="00DD478B"/>
    <w:rPr>
      <w:sz w:val="18"/>
    </w:rPr>
  </w:style>
  <w:style w:type="character" w:styleId="PageNumber">
    <w:name w:val="page number"/>
    <w:basedOn w:val="DefaultParagraphFont"/>
    <w:rsid w:val="00DD478B"/>
  </w:style>
  <w:style w:type="paragraph" w:customStyle="1" w:styleId="References">
    <w:name w:val="References"/>
    <w:rsid w:val="00DD478B"/>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pPr>
    <w:rPr>
      <w:snapToGrid w:val="0"/>
      <w:lang w:eastAsia="en-US"/>
    </w:rPr>
  </w:style>
  <w:style w:type="paragraph" w:customStyle="1" w:styleId="Captions">
    <w:name w:val="Captions"/>
    <w:rsid w:val="00DD478B"/>
    <w:pPr>
      <w:widowControl w:val="0"/>
      <w:jc w:val="center"/>
    </w:pPr>
    <w:rPr>
      <w:snapToGrid w:val="0"/>
      <w:sz w:val="18"/>
      <w:lang w:eastAsia="en-US"/>
    </w:rPr>
  </w:style>
  <w:style w:type="paragraph" w:styleId="ListNumber">
    <w:name w:val="List Number"/>
    <w:basedOn w:val="Normal"/>
    <w:rsid w:val="00DD478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pPr>
    <w:rPr>
      <w:sz w:val="18"/>
    </w:rPr>
  </w:style>
  <w:style w:type="paragraph" w:customStyle="1" w:styleId="Abstract">
    <w:name w:val="Abstract"/>
    <w:rsid w:val="00DD478B"/>
    <w:pPr>
      <w:widowControl w:val="0"/>
    </w:pPr>
    <w:rPr>
      <w:snapToGrid w:val="0"/>
      <w:sz w:val="18"/>
      <w:lang w:eastAsia="en-US"/>
    </w:rPr>
  </w:style>
  <w:style w:type="paragraph" w:customStyle="1" w:styleId="EMail">
    <w:name w:val="EMail"/>
    <w:rsid w:val="00DD478B"/>
    <w:pPr>
      <w:widowControl w:val="0"/>
      <w:jc w:val="center"/>
    </w:pPr>
    <w:rPr>
      <w:snapToGrid w:val="0"/>
      <w:sz w:val="24"/>
      <w:lang w:eastAsia="en-US"/>
    </w:rPr>
  </w:style>
  <w:style w:type="paragraph" w:styleId="Footer">
    <w:name w:val="footer"/>
    <w:basedOn w:val="Normal"/>
    <w:link w:val="FooterChar"/>
    <w:uiPriority w:val="99"/>
    <w:rsid w:val="00DD478B"/>
    <w:pPr>
      <w:tabs>
        <w:tab w:val="left" w:pos="0"/>
        <w:tab w:val="center" w:pos="4320"/>
        <w:tab w:val="right" w:pos="8640"/>
        <w:tab w:val="left" w:pos="9360"/>
        <w:tab w:val="left" w:pos="10080"/>
      </w:tabs>
    </w:pPr>
    <w:rPr>
      <w:sz w:val="18"/>
    </w:rPr>
  </w:style>
  <w:style w:type="paragraph" w:customStyle="1" w:styleId="Bullet">
    <w:name w:val="Bullet"/>
    <w:rsid w:val="00DD478B"/>
    <w:pPr>
      <w:widowControl w:val="0"/>
      <w:tabs>
        <w:tab w:val="left" w:pos="0"/>
        <w:tab w:val="left" w:pos="21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144"/>
    </w:pPr>
    <w:rPr>
      <w:snapToGrid w:val="0"/>
      <w:sz w:val="18"/>
      <w:lang w:eastAsia="en-US"/>
    </w:rPr>
  </w:style>
  <w:style w:type="paragraph" w:customStyle="1" w:styleId="footnotetex">
    <w:name w:val="footnote tex"/>
    <w:rsid w:val="00DD478B"/>
    <w:pPr>
      <w:widowControl w:val="0"/>
      <w:tabs>
        <w:tab w:val="left" w:pos="-144"/>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144"/>
    </w:pPr>
    <w:rPr>
      <w:snapToGrid w:val="0"/>
      <w:sz w:val="18"/>
      <w:lang w:eastAsia="en-US"/>
    </w:rPr>
  </w:style>
  <w:style w:type="paragraph" w:customStyle="1" w:styleId="Affiliations">
    <w:name w:val="Affiliations"/>
    <w:rsid w:val="00DD478B"/>
    <w:pPr>
      <w:widowControl w:val="0"/>
      <w:jc w:val="center"/>
    </w:pPr>
    <w:rPr>
      <w:rFonts w:ascii="Helvetica" w:hAnsi="Helvetica"/>
      <w:snapToGrid w:val="0"/>
      <w:lang w:eastAsia="en-US"/>
    </w:rPr>
  </w:style>
  <w:style w:type="paragraph" w:customStyle="1" w:styleId="PaperTitle">
    <w:name w:val="PaperTitle"/>
    <w:rsid w:val="00DD478B"/>
    <w:pPr>
      <w:widowControl w:val="0"/>
      <w:jc w:val="center"/>
    </w:pPr>
    <w:rPr>
      <w:rFonts w:ascii="Helvetica" w:hAnsi="Helvetica"/>
      <w:snapToGrid w:val="0"/>
      <w:sz w:val="36"/>
      <w:lang w:eastAsia="en-US"/>
    </w:rPr>
  </w:style>
  <w:style w:type="paragraph" w:customStyle="1" w:styleId="Author">
    <w:name w:val="Author"/>
    <w:rsid w:val="00DD478B"/>
    <w:pPr>
      <w:widowControl w:val="0"/>
      <w:jc w:val="center"/>
    </w:pPr>
    <w:rPr>
      <w:rFonts w:ascii="Helvetica" w:hAnsi="Helvetica"/>
      <w:snapToGrid w:val="0"/>
      <w:sz w:val="24"/>
      <w:lang w:eastAsia="en-US"/>
    </w:rPr>
  </w:style>
  <w:style w:type="character" w:customStyle="1" w:styleId="footnoteref">
    <w:name w:val="footnote ref"/>
    <w:rsid w:val="00DD478B"/>
    <w:rPr>
      <w:sz w:val="18"/>
    </w:rPr>
  </w:style>
  <w:style w:type="character" w:customStyle="1" w:styleId="DefaultPara">
    <w:name w:val="Default Para"/>
    <w:rsid w:val="00DD478B"/>
  </w:style>
  <w:style w:type="paragraph" w:styleId="BodyText">
    <w:name w:val="Body Text"/>
    <w:basedOn w:val="Normal"/>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style>
  <w:style w:type="paragraph" w:styleId="BodyText2">
    <w:name w:val="Body Text 2"/>
    <w:basedOn w:val="Normal"/>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pacing w:val="-2"/>
      <w:sz w:val="19"/>
    </w:rPr>
  </w:style>
  <w:style w:type="paragraph" w:styleId="BodyText3">
    <w:name w:val="Body Text 3"/>
    <w:basedOn w:val="Normal"/>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z w:val="18"/>
    </w:rPr>
  </w:style>
  <w:style w:type="paragraph" w:styleId="BlockText">
    <w:name w:val="Block Text"/>
    <w:basedOn w:val="Normal"/>
    <w:rsid w:val="00DD478B"/>
    <w:pPr>
      <w:spacing w:after="120"/>
      <w:ind w:left="1440" w:right="1440"/>
    </w:pPr>
  </w:style>
  <w:style w:type="paragraph" w:styleId="BodyTextFirstIndent">
    <w:name w:val="Body Text First Indent"/>
    <w:basedOn w:val="BodyText"/>
    <w:rsid w:val="00DD478B"/>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ind w:firstLine="210"/>
      <w:jc w:val="left"/>
    </w:pPr>
  </w:style>
  <w:style w:type="paragraph" w:styleId="BodyTextFirstIndent2">
    <w:name w:val="Body Text First Indent 2"/>
    <w:basedOn w:val="BodyTextIndent"/>
    <w:rsid w:val="00DD478B"/>
    <w:pPr>
      <w:spacing w:after="120"/>
      <w:ind w:left="360" w:firstLine="210"/>
    </w:pPr>
    <w:rPr>
      <w:sz w:val="20"/>
    </w:rPr>
  </w:style>
  <w:style w:type="paragraph" w:styleId="BodyTextIndent2">
    <w:name w:val="Body Text Indent 2"/>
    <w:basedOn w:val="Normal"/>
    <w:rsid w:val="00DD478B"/>
    <w:pPr>
      <w:spacing w:after="120" w:line="480" w:lineRule="auto"/>
      <w:ind w:left="360"/>
    </w:pPr>
  </w:style>
  <w:style w:type="paragraph" w:styleId="BodyTextIndent3">
    <w:name w:val="Body Text Indent 3"/>
    <w:basedOn w:val="Normal"/>
    <w:rsid w:val="00DD478B"/>
    <w:pPr>
      <w:spacing w:after="120"/>
      <w:ind w:left="360"/>
    </w:pPr>
    <w:rPr>
      <w:sz w:val="16"/>
      <w:szCs w:val="16"/>
    </w:rPr>
  </w:style>
  <w:style w:type="paragraph" w:styleId="Closing">
    <w:name w:val="Closing"/>
    <w:basedOn w:val="Normal"/>
    <w:rsid w:val="00DD478B"/>
    <w:pPr>
      <w:ind w:left="4320"/>
    </w:pPr>
  </w:style>
  <w:style w:type="paragraph" w:styleId="CommentText">
    <w:name w:val="annotation text"/>
    <w:basedOn w:val="Normal"/>
    <w:semiHidden/>
    <w:rsid w:val="00DD478B"/>
  </w:style>
  <w:style w:type="paragraph" w:styleId="Date">
    <w:name w:val="Date"/>
    <w:basedOn w:val="Normal"/>
    <w:next w:val="Normal"/>
    <w:rsid w:val="00DD478B"/>
  </w:style>
  <w:style w:type="paragraph" w:styleId="E-mailSignature">
    <w:name w:val="E-mail Signature"/>
    <w:basedOn w:val="Normal"/>
    <w:rsid w:val="00DD478B"/>
  </w:style>
  <w:style w:type="paragraph" w:styleId="EndnoteText">
    <w:name w:val="endnote text"/>
    <w:basedOn w:val="Normal"/>
    <w:semiHidden/>
    <w:rsid w:val="00DD478B"/>
  </w:style>
  <w:style w:type="paragraph" w:styleId="EnvelopeAddress">
    <w:name w:val="envelope address"/>
    <w:basedOn w:val="Normal"/>
    <w:rsid w:val="00DD478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D478B"/>
    <w:rPr>
      <w:rFonts w:ascii="Arial" w:hAnsi="Arial" w:cs="Arial"/>
    </w:rPr>
  </w:style>
  <w:style w:type="paragraph" w:styleId="FootnoteText">
    <w:name w:val="footnote text"/>
    <w:basedOn w:val="Normal"/>
    <w:link w:val="FootnoteTextChar"/>
    <w:uiPriority w:val="99"/>
    <w:rsid w:val="00DD478B"/>
  </w:style>
  <w:style w:type="paragraph" w:styleId="HTMLAddress">
    <w:name w:val="HTML Address"/>
    <w:basedOn w:val="Normal"/>
    <w:rsid w:val="00DD478B"/>
    <w:rPr>
      <w:i/>
      <w:iCs/>
    </w:rPr>
  </w:style>
  <w:style w:type="paragraph" w:styleId="HTMLPreformatted">
    <w:name w:val="HTML Preformatted"/>
    <w:basedOn w:val="Normal"/>
    <w:rsid w:val="00DD478B"/>
    <w:rPr>
      <w:rFonts w:ascii="Courier New" w:hAnsi="Courier New" w:cs="Courier New"/>
    </w:rPr>
  </w:style>
  <w:style w:type="paragraph" w:styleId="Index1">
    <w:name w:val="index 1"/>
    <w:basedOn w:val="Normal"/>
    <w:next w:val="Normal"/>
    <w:autoRedefine/>
    <w:semiHidden/>
    <w:rsid w:val="00DD478B"/>
    <w:pPr>
      <w:ind w:left="200" w:hanging="200"/>
    </w:pPr>
  </w:style>
  <w:style w:type="paragraph" w:styleId="Index2">
    <w:name w:val="index 2"/>
    <w:basedOn w:val="Normal"/>
    <w:next w:val="Normal"/>
    <w:autoRedefine/>
    <w:semiHidden/>
    <w:rsid w:val="00DD478B"/>
    <w:pPr>
      <w:ind w:left="400" w:hanging="200"/>
    </w:pPr>
  </w:style>
  <w:style w:type="paragraph" w:styleId="Index3">
    <w:name w:val="index 3"/>
    <w:basedOn w:val="Normal"/>
    <w:next w:val="Normal"/>
    <w:autoRedefine/>
    <w:semiHidden/>
    <w:rsid w:val="00DD478B"/>
    <w:pPr>
      <w:ind w:left="600" w:hanging="200"/>
    </w:pPr>
  </w:style>
  <w:style w:type="paragraph" w:styleId="Index4">
    <w:name w:val="index 4"/>
    <w:basedOn w:val="Normal"/>
    <w:next w:val="Normal"/>
    <w:autoRedefine/>
    <w:semiHidden/>
    <w:rsid w:val="00DD478B"/>
    <w:pPr>
      <w:ind w:left="800" w:hanging="200"/>
    </w:pPr>
  </w:style>
  <w:style w:type="paragraph" w:styleId="Index5">
    <w:name w:val="index 5"/>
    <w:basedOn w:val="Normal"/>
    <w:next w:val="Normal"/>
    <w:autoRedefine/>
    <w:semiHidden/>
    <w:rsid w:val="00DD478B"/>
    <w:pPr>
      <w:ind w:left="1000" w:hanging="200"/>
    </w:pPr>
  </w:style>
  <w:style w:type="paragraph" w:styleId="Index6">
    <w:name w:val="index 6"/>
    <w:basedOn w:val="Normal"/>
    <w:next w:val="Normal"/>
    <w:autoRedefine/>
    <w:semiHidden/>
    <w:rsid w:val="00DD478B"/>
    <w:pPr>
      <w:ind w:left="1200" w:hanging="200"/>
    </w:pPr>
  </w:style>
  <w:style w:type="paragraph" w:styleId="Index7">
    <w:name w:val="index 7"/>
    <w:basedOn w:val="Normal"/>
    <w:next w:val="Normal"/>
    <w:autoRedefine/>
    <w:semiHidden/>
    <w:rsid w:val="00DD478B"/>
    <w:pPr>
      <w:ind w:left="1400" w:hanging="200"/>
    </w:pPr>
  </w:style>
  <w:style w:type="paragraph" w:styleId="Index8">
    <w:name w:val="index 8"/>
    <w:basedOn w:val="Normal"/>
    <w:next w:val="Normal"/>
    <w:autoRedefine/>
    <w:semiHidden/>
    <w:rsid w:val="00DD478B"/>
    <w:pPr>
      <w:ind w:left="1600" w:hanging="200"/>
    </w:pPr>
  </w:style>
  <w:style w:type="paragraph" w:styleId="Index9">
    <w:name w:val="index 9"/>
    <w:basedOn w:val="Normal"/>
    <w:next w:val="Normal"/>
    <w:autoRedefine/>
    <w:semiHidden/>
    <w:rsid w:val="00DD478B"/>
    <w:pPr>
      <w:ind w:left="1800" w:hanging="200"/>
    </w:pPr>
  </w:style>
  <w:style w:type="paragraph" w:styleId="IndexHeading">
    <w:name w:val="index heading"/>
    <w:basedOn w:val="Normal"/>
    <w:next w:val="Index1"/>
    <w:semiHidden/>
    <w:rsid w:val="00DD478B"/>
    <w:rPr>
      <w:rFonts w:ascii="Arial" w:hAnsi="Arial" w:cs="Arial"/>
      <w:b/>
      <w:bCs/>
    </w:rPr>
  </w:style>
  <w:style w:type="paragraph" w:styleId="List">
    <w:name w:val="List"/>
    <w:basedOn w:val="Normal"/>
    <w:rsid w:val="00DD478B"/>
    <w:pPr>
      <w:ind w:left="360" w:hanging="360"/>
    </w:pPr>
  </w:style>
  <w:style w:type="paragraph" w:styleId="List2">
    <w:name w:val="List 2"/>
    <w:basedOn w:val="Normal"/>
    <w:rsid w:val="00DD478B"/>
    <w:pPr>
      <w:ind w:left="720" w:hanging="360"/>
    </w:pPr>
  </w:style>
  <w:style w:type="paragraph" w:styleId="List3">
    <w:name w:val="List 3"/>
    <w:basedOn w:val="Normal"/>
    <w:rsid w:val="00DD478B"/>
    <w:pPr>
      <w:ind w:left="1080" w:hanging="360"/>
    </w:pPr>
  </w:style>
  <w:style w:type="paragraph" w:styleId="List4">
    <w:name w:val="List 4"/>
    <w:basedOn w:val="Normal"/>
    <w:rsid w:val="00DD478B"/>
    <w:pPr>
      <w:ind w:left="1440" w:hanging="360"/>
    </w:pPr>
  </w:style>
  <w:style w:type="paragraph" w:styleId="List5">
    <w:name w:val="List 5"/>
    <w:basedOn w:val="Normal"/>
    <w:rsid w:val="00DD478B"/>
    <w:pPr>
      <w:ind w:left="1800" w:hanging="360"/>
    </w:pPr>
  </w:style>
  <w:style w:type="paragraph" w:styleId="ListBullet">
    <w:name w:val="List Bullet"/>
    <w:basedOn w:val="Normal"/>
    <w:autoRedefine/>
    <w:rsid w:val="00DD478B"/>
    <w:pPr>
      <w:numPr>
        <w:numId w:val="2"/>
      </w:numPr>
    </w:pPr>
  </w:style>
  <w:style w:type="paragraph" w:styleId="ListBullet2">
    <w:name w:val="List Bullet 2"/>
    <w:basedOn w:val="Normal"/>
    <w:autoRedefine/>
    <w:rsid w:val="00DD478B"/>
    <w:pPr>
      <w:numPr>
        <w:numId w:val="3"/>
      </w:numPr>
    </w:pPr>
  </w:style>
  <w:style w:type="paragraph" w:styleId="ListBullet3">
    <w:name w:val="List Bullet 3"/>
    <w:basedOn w:val="Normal"/>
    <w:autoRedefine/>
    <w:rsid w:val="00DD478B"/>
    <w:pPr>
      <w:numPr>
        <w:numId w:val="4"/>
      </w:numPr>
    </w:pPr>
  </w:style>
  <w:style w:type="paragraph" w:styleId="ListBullet4">
    <w:name w:val="List Bullet 4"/>
    <w:basedOn w:val="Normal"/>
    <w:autoRedefine/>
    <w:rsid w:val="00DD478B"/>
    <w:pPr>
      <w:numPr>
        <w:numId w:val="5"/>
      </w:numPr>
    </w:pPr>
  </w:style>
  <w:style w:type="paragraph" w:styleId="ListBullet5">
    <w:name w:val="List Bullet 5"/>
    <w:basedOn w:val="Normal"/>
    <w:autoRedefine/>
    <w:rsid w:val="00DD478B"/>
    <w:pPr>
      <w:numPr>
        <w:numId w:val="6"/>
      </w:numPr>
    </w:pPr>
  </w:style>
  <w:style w:type="paragraph" w:styleId="ListContinue">
    <w:name w:val="List Continue"/>
    <w:basedOn w:val="Normal"/>
    <w:rsid w:val="00DD478B"/>
    <w:pPr>
      <w:spacing w:after="120"/>
      <w:ind w:left="360"/>
    </w:pPr>
  </w:style>
  <w:style w:type="paragraph" w:styleId="ListContinue2">
    <w:name w:val="List Continue 2"/>
    <w:basedOn w:val="Normal"/>
    <w:rsid w:val="00DD478B"/>
    <w:pPr>
      <w:spacing w:after="120"/>
      <w:ind w:left="720"/>
    </w:pPr>
  </w:style>
  <w:style w:type="paragraph" w:styleId="ListContinue3">
    <w:name w:val="List Continue 3"/>
    <w:basedOn w:val="Normal"/>
    <w:rsid w:val="00DD478B"/>
    <w:pPr>
      <w:spacing w:after="120"/>
      <w:ind w:left="1080"/>
    </w:pPr>
  </w:style>
  <w:style w:type="paragraph" w:styleId="ListContinue4">
    <w:name w:val="List Continue 4"/>
    <w:basedOn w:val="Normal"/>
    <w:rsid w:val="00DD478B"/>
    <w:pPr>
      <w:spacing w:after="120"/>
      <w:ind w:left="1440"/>
    </w:pPr>
  </w:style>
  <w:style w:type="paragraph" w:styleId="ListContinue5">
    <w:name w:val="List Continue 5"/>
    <w:basedOn w:val="Normal"/>
    <w:rsid w:val="00DD478B"/>
    <w:pPr>
      <w:spacing w:after="120"/>
      <w:ind w:left="1800"/>
    </w:pPr>
  </w:style>
  <w:style w:type="paragraph" w:styleId="ListNumber2">
    <w:name w:val="List Number 2"/>
    <w:basedOn w:val="Normal"/>
    <w:rsid w:val="00DD478B"/>
    <w:pPr>
      <w:numPr>
        <w:numId w:val="7"/>
      </w:numPr>
    </w:pPr>
  </w:style>
  <w:style w:type="paragraph" w:styleId="ListNumber3">
    <w:name w:val="List Number 3"/>
    <w:basedOn w:val="Normal"/>
    <w:rsid w:val="00DD478B"/>
    <w:pPr>
      <w:numPr>
        <w:numId w:val="8"/>
      </w:numPr>
    </w:pPr>
  </w:style>
  <w:style w:type="paragraph" w:styleId="ListNumber4">
    <w:name w:val="List Number 4"/>
    <w:basedOn w:val="Normal"/>
    <w:rsid w:val="00DD478B"/>
    <w:pPr>
      <w:numPr>
        <w:numId w:val="9"/>
      </w:numPr>
    </w:pPr>
  </w:style>
  <w:style w:type="paragraph" w:styleId="ListNumber5">
    <w:name w:val="List Number 5"/>
    <w:basedOn w:val="Normal"/>
    <w:rsid w:val="00DD478B"/>
    <w:pPr>
      <w:numPr>
        <w:numId w:val="10"/>
      </w:numPr>
    </w:pPr>
  </w:style>
  <w:style w:type="paragraph" w:styleId="MacroText">
    <w:name w:val="macro"/>
    <w:semiHidden/>
    <w:rsid w:val="00DD478B"/>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eastAsia="en-US"/>
    </w:rPr>
  </w:style>
  <w:style w:type="paragraph" w:styleId="MessageHeader">
    <w:name w:val="Message Header"/>
    <w:basedOn w:val="Normal"/>
    <w:rsid w:val="00DD478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sid w:val="00DD478B"/>
    <w:rPr>
      <w:sz w:val="24"/>
      <w:szCs w:val="24"/>
    </w:rPr>
  </w:style>
  <w:style w:type="paragraph" w:styleId="NormalIndent">
    <w:name w:val="Normal Indent"/>
    <w:basedOn w:val="Normal"/>
    <w:rsid w:val="00DD478B"/>
    <w:pPr>
      <w:ind w:left="720"/>
    </w:pPr>
  </w:style>
  <w:style w:type="paragraph" w:styleId="NoteHeading">
    <w:name w:val="Note Heading"/>
    <w:basedOn w:val="Normal"/>
    <w:next w:val="Normal"/>
    <w:rsid w:val="00DD478B"/>
  </w:style>
  <w:style w:type="paragraph" w:styleId="PlainText">
    <w:name w:val="Plain Text"/>
    <w:basedOn w:val="Normal"/>
    <w:rsid w:val="00DD478B"/>
    <w:rPr>
      <w:rFonts w:ascii="Courier New" w:hAnsi="Courier New" w:cs="Courier New"/>
    </w:rPr>
  </w:style>
  <w:style w:type="paragraph" w:styleId="Salutation">
    <w:name w:val="Salutation"/>
    <w:basedOn w:val="Normal"/>
    <w:next w:val="Normal"/>
    <w:rsid w:val="00DD478B"/>
  </w:style>
  <w:style w:type="paragraph" w:styleId="Signature">
    <w:name w:val="Signature"/>
    <w:basedOn w:val="Normal"/>
    <w:rsid w:val="00DD478B"/>
    <w:pPr>
      <w:ind w:left="4320"/>
    </w:pPr>
  </w:style>
  <w:style w:type="paragraph" w:styleId="Subtitle">
    <w:name w:val="Subtitle"/>
    <w:basedOn w:val="Normal"/>
    <w:qFormat/>
    <w:rsid w:val="00DD478B"/>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DD478B"/>
    <w:pPr>
      <w:ind w:left="200" w:hanging="200"/>
    </w:pPr>
  </w:style>
  <w:style w:type="paragraph" w:styleId="TableofFigures">
    <w:name w:val="table of figures"/>
    <w:basedOn w:val="Normal"/>
    <w:next w:val="Normal"/>
    <w:semiHidden/>
    <w:rsid w:val="00DD478B"/>
    <w:pPr>
      <w:ind w:left="400" w:hanging="400"/>
    </w:pPr>
  </w:style>
  <w:style w:type="paragraph" w:styleId="Title">
    <w:name w:val="Title"/>
    <w:basedOn w:val="Normal"/>
    <w:qFormat/>
    <w:rsid w:val="00DD478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D478B"/>
    <w:pPr>
      <w:spacing w:before="120"/>
    </w:pPr>
    <w:rPr>
      <w:rFonts w:ascii="Arial" w:hAnsi="Arial" w:cs="Arial"/>
      <w:b/>
      <w:bCs/>
      <w:sz w:val="24"/>
      <w:szCs w:val="24"/>
    </w:rPr>
  </w:style>
  <w:style w:type="paragraph" w:styleId="TOC1">
    <w:name w:val="toc 1"/>
    <w:basedOn w:val="Normal"/>
    <w:next w:val="Normal"/>
    <w:autoRedefine/>
    <w:semiHidden/>
    <w:rsid w:val="00DD478B"/>
  </w:style>
  <w:style w:type="paragraph" w:styleId="TOC2">
    <w:name w:val="toc 2"/>
    <w:basedOn w:val="Normal"/>
    <w:next w:val="Normal"/>
    <w:autoRedefine/>
    <w:semiHidden/>
    <w:rsid w:val="00DD478B"/>
    <w:pPr>
      <w:ind w:left="200"/>
    </w:pPr>
  </w:style>
  <w:style w:type="paragraph" w:styleId="TOC3">
    <w:name w:val="toc 3"/>
    <w:basedOn w:val="Normal"/>
    <w:next w:val="Normal"/>
    <w:autoRedefine/>
    <w:semiHidden/>
    <w:rsid w:val="00DD478B"/>
    <w:pPr>
      <w:ind w:left="400"/>
    </w:pPr>
  </w:style>
  <w:style w:type="paragraph" w:styleId="TOC4">
    <w:name w:val="toc 4"/>
    <w:basedOn w:val="Normal"/>
    <w:next w:val="Normal"/>
    <w:autoRedefine/>
    <w:semiHidden/>
    <w:rsid w:val="00DD478B"/>
    <w:pPr>
      <w:ind w:left="600"/>
    </w:pPr>
  </w:style>
  <w:style w:type="paragraph" w:styleId="TOC5">
    <w:name w:val="toc 5"/>
    <w:basedOn w:val="Normal"/>
    <w:next w:val="Normal"/>
    <w:autoRedefine/>
    <w:semiHidden/>
    <w:rsid w:val="00DD478B"/>
    <w:pPr>
      <w:ind w:left="800"/>
    </w:pPr>
  </w:style>
  <w:style w:type="paragraph" w:styleId="TOC6">
    <w:name w:val="toc 6"/>
    <w:basedOn w:val="Normal"/>
    <w:next w:val="Normal"/>
    <w:autoRedefine/>
    <w:semiHidden/>
    <w:rsid w:val="00DD478B"/>
    <w:pPr>
      <w:ind w:left="1000"/>
    </w:pPr>
  </w:style>
  <w:style w:type="paragraph" w:styleId="TOC7">
    <w:name w:val="toc 7"/>
    <w:basedOn w:val="Normal"/>
    <w:next w:val="Normal"/>
    <w:autoRedefine/>
    <w:semiHidden/>
    <w:rsid w:val="00DD478B"/>
    <w:pPr>
      <w:ind w:left="1200"/>
    </w:pPr>
  </w:style>
  <w:style w:type="paragraph" w:styleId="TOC8">
    <w:name w:val="toc 8"/>
    <w:basedOn w:val="Normal"/>
    <w:next w:val="Normal"/>
    <w:autoRedefine/>
    <w:semiHidden/>
    <w:rsid w:val="00DD478B"/>
    <w:pPr>
      <w:ind w:left="1400"/>
    </w:pPr>
  </w:style>
  <w:style w:type="paragraph" w:styleId="TOC9">
    <w:name w:val="toc 9"/>
    <w:basedOn w:val="Normal"/>
    <w:next w:val="Normal"/>
    <w:autoRedefine/>
    <w:semiHidden/>
    <w:rsid w:val="00DD478B"/>
    <w:pPr>
      <w:ind w:left="1600"/>
    </w:pPr>
  </w:style>
  <w:style w:type="character" w:styleId="FollowedHyperlink">
    <w:name w:val="FollowedHyperlink"/>
    <w:basedOn w:val="DefaultParagraphFont"/>
    <w:rsid w:val="00DD478B"/>
    <w:rPr>
      <w:color w:val="800080"/>
      <w:u w:val="single"/>
    </w:rPr>
  </w:style>
  <w:style w:type="character" w:customStyle="1" w:styleId="HeaderChar">
    <w:name w:val="Header Char"/>
    <w:basedOn w:val="DefaultParagraphFont"/>
    <w:link w:val="Header"/>
    <w:uiPriority w:val="99"/>
    <w:rsid w:val="008A58AB"/>
    <w:rPr>
      <w:snapToGrid w:val="0"/>
      <w:sz w:val="18"/>
      <w:lang w:eastAsia="en-US"/>
    </w:rPr>
  </w:style>
  <w:style w:type="paragraph" w:styleId="BalloonText">
    <w:name w:val="Balloon Text"/>
    <w:basedOn w:val="Normal"/>
    <w:link w:val="BalloonTextChar"/>
    <w:rsid w:val="008A58AB"/>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rsid w:val="008A58AB"/>
    <w:rPr>
      <w:rFonts w:asciiTheme="majorHAnsi" w:eastAsiaTheme="majorEastAsia" w:hAnsiTheme="majorHAnsi" w:cstheme="majorBidi"/>
      <w:snapToGrid w:val="0"/>
      <w:sz w:val="16"/>
      <w:szCs w:val="16"/>
      <w:lang w:eastAsia="en-US"/>
    </w:rPr>
  </w:style>
  <w:style w:type="paragraph" w:customStyle="1" w:styleId="Default">
    <w:name w:val="Default"/>
    <w:rsid w:val="008A58AB"/>
    <w:pPr>
      <w:widowControl w:val="0"/>
      <w:autoSpaceDE w:val="0"/>
      <w:autoSpaceDN w:val="0"/>
      <w:adjustRightInd w:val="0"/>
    </w:pPr>
    <w:rPr>
      <w:color w:val="000000"/>
      <w:sz w:val="24"/>
      <w:szCs w:val="24"/>
    </w:rPr>
  </w:style>
  <w:style w:type="paragraph" w:styleId="ListParagraph">
    <w:name w:val="List Paragraph"/>
    <w:aliases w:val="Body of text"/>
    <w:basedOn w:val="Normal"/>
    <w:link w:val="ListParagraphChar"/>
    <w:uiPriority w:val="34"/>
    <w:qFormat/>
    <w:rsid w:val="00F41AEA"/>
    <w:pPr>
      <w:ind w:left="720"/>
      <w:contextualSpacing/>
    </w:pPr>
  </w:style>
  <w:style w:type="table" w:styleId="TableGrid">
    <w:name w:val="Table Grid"/>
    <w:basedOn w:val="TableNormal"/>
    <w:uiPriority w:val="39"/>
    <w:rsid w:val="00A66C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3E424B"/>
    <w:rPr>
      <w:rFonts w:asciiTheme="minorHAnsi" w:hAnsiTheme="minorHAnsi" w:cstheme="minorBidi"/>
      <w:sz w:val="22"/>
      <w:szCs w:val="22"/>
      <w:lang w:eastAsia="zh-CN"/>
    </w:rPr>
  </w:style>
  <w:style w:type="character" w:customStyle="1" w:styleId="FooterChar">
    <w:name w:val="Footer Char"/>
    <w:basedOn w:val="DefaultParagraphFont"/>
    <w:link w:val="Footer"/>
    <w:uiPriority w:val="99"/>
    <w:rsid w:val="00CF78B3"/>
    <w:rPr>
      <w:snapToGrid w:val="0"/>
      <w:sz w:val="18"/>
      <w:lang w:eastAsia="en-US"/>
    </w:rPr>
  </w:style>
  <w:style w:type="paragraph" w:customStyle="1" w:styleId="-1">
    <w:name w:val="参考文献-1"/>
    <w:basedOn w:val="Normal"/>
    <w:rsid w:val="00D82A10"/>
    <w:pPr>
      <w:widowControl/>
      <w:adjustRightInd w:val="0"/>
      <w:snapToGrid w:val="0"/>
      <w:spacing w:line="288" w:lineRule="auto"/>
      <w:ind w:left="200" w:hangingChars="200" w:hanging="200"/>
      <w:jc w:val="both"/>
    </w:pPr>
    <w:rPr>
      <w:rFonts w:eastAsia="Times New Roman"/>
      <w:snapToGrid/>
      <w:sz w:val="18"/>
      <w:szCs w:val="18"/>
    </w:rPr>
  </w:style>
  <w:style w:type="character" w:customStyle="1" w:styleId="tlid-translation">
    <w:name w:val="tlid-translation"/>
    <w:basedOn w:val="DefaultParagraphFont"/>
    <w:rsid w:val="004542A5"/>
  </w:style>
  <w:style w:type="paragraph" w:customStyle="1" w:styleId="DecimalAligned">
    <w:name w:val="Decimal Aligned"/>
    <w:basedOn w:val="Normal"/>
    <w:uiPriority w:val="40"/>
    <w:qFormat/>
    <w:rsid w:val="004542A5"/>
    <w:pPr>
      <w:widowControl/>
      <w:tabs>
        <w:tab w:val="decimal" w:pos="360"/>
      </w:tabs>
      <w:spacing w:after="200" w:line="276" w:lineRule="auto"/>
    </w:pPr>
    <w:rPr>
      <w:rFonts w:ascii="Calibri" w:eastAsia="Times New Roman" w:hAnsi="Calibri"/>
      <w:snapToGrid/>
      <w:sz w:val="22"/>
      <w:szCs w:val="22"/>
    </w:rPr>
  </w:style>
  <w:style w:type="character" w:customStyle="1" w:styleId="FootnoteTextChar">
    <w:name w:val="Footnote Text Char"/>
    <w:link w:val="FootnoteText"/>
    <w:uiPriority w:val="99"/>
    <w:rsid w:val="004542A5"/>
    <w:rPr>
      <w:snapToGrid w:val="0"/>
      <w:lang w:eastAsia="en-US"/>
    </w:rPr>
  </w:style>
  <w:style w:type="character" w:styleId="SubtleEmphasis">
    <w:name w:val="Subtle Emphasis"/>
    <w:uiPriority w:val="19"/>
    <w:qFormat/>
    <w:rsid w:val="004542A5"/>
    <w:rPr>
      <w:i/>
      <w:iCs/>
    </w:rPr>
  </w:style>
  <w:style w:type="character" w:customStyle="1" w:styleId="ListParagraphChar">
    <w:name w:val="List Paragraph Char"/>
    <w:aliases w:val="Body of text Char"/>
    <w:link w:val="ListParagraph"/>
    <w:uiPriority w:val="34"/>
    <w:rsid w:val="009F20A3"/>
    <w:rPr>
      <w:snapToGrid w:val="0"/>
      <w:lang w:eastAsia="en-US"/>
    </w:rPr>
  </w:style>
  <w:style w:type="character" w:styleId="PlaceholderText">
    <w:name w:val="Placeholder Text"/>
    <w:basedOn w:val="DefaultParagraphFont"/>
    <w:uiPriority w:val="99"/>
    <w:semiHidden/>
    <w:rsid w:val="00BE0A57"/>
    <w:rPr>
      <w:color w:val="808080"/>
    </w:rPr>
  </w:style>
  <w:style w:type="character" w:customStyle="1" w:styleId="UnresolvedMention">
    <w:name w:val="Unresolved Mention"/>
    <w:basedOn w:val="DefaultParagraphFont"/>
    <w:uiPriority w:val="99"/>
    <w:semiHidden/>
    <w:unhideWhenUsed/>
    <w:rsid w:val="00881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2649">
      <w:bodyDiv w:val="1"/>
      <w:marLeft w:val="0"/>
      <w:marRight w:val="0"/>
      <w:marTop w:val="0"/>
      <w:marBottom w:val="0"/>
      <w:divBdr>
        <w:top w:val="none" w:sz="0" w:space="0" w:color="auto"/>
        <w:left w:val="none" w:sz="0" w:space="0" w:color="auto"/>
        <w:bottom w:val="none" w:sz="0" w:space="0" w:color="auto"/>
        <w:right w:val="none" w:sz="0" w:space="0" w:color="auto"/>
      </w:divBdr>
    </w:div>
    <w:div w:id="20981375">
      <w:bodyDiv w:val="1"/>
      <w:marLeft w:val="0"/>
      <w:marRight w:val="0"/>
      <w:marTop w:val="0"/>
      <w:marBottom w:val="0"/>
      <w:divBdr>
        <w:top w:val="none" w:sz="0" w:space="0" w:color="auto"/>
        <w:left w:val="none" w:sz="0" w:space="0" w:color="auto"/>
        <w:bottom w:val="none" w:sz="0" w:space="0" w:color="auto"/>
        <w:right w:val="none" w:sz="0" w:space="0" w:color="auto"/>
      </w:divBdr>
      <w:divsChild>
        <w:div w:id="680353822">
          <w:marLeft w:val="0"/>
          <w:marRight w:val="0"/>
          <w:marTop w:val="0"/>
          <w:marBottom w:val="0"/>
          <w:divBdr>
            <w:top w:val="none" w:sz="0" w:space="0" w:color="auto"/>
            <w:left w:val="none" w:sz="0" w:space="0" w:color="auto"/>
            <w:bottom w:val="none" w:sz="0" w:space="0" w:color="auto"/>
            <w:right w:val="none" w:sz="0" w:space="0" w:color="auto"/>
          </w:divBdr>
          <w:divsChild>
            <w:div w:id="1768883011">
              <w:marLeft w:val="0"/>
              <w:marRight w:val="0"/>
              <w:marTop w:val="0"/>
              <w:marBottom w:val="0"/>
              <w:divBdr>
                <w:top w:val="none" w:sz="0" w:space="0" w:color="auto"/>
                <w:left w:val="none" w:sz="0" w:space="0" w:color="auto"/>
                <w:bottom w:val="none" w:sz="0" w:space="0" w:color="auto"/>
                <w:right w:val="none" w:sz="0" w:space="0" w:color="auto"/>
              </w:divBdr>
              <w:divsChild>
                <w:div w:id="1481920894">
                  <w:marLeft w:val="0"/>
                  <w:marRight w:val="0"/>
                  <w:marTop w:val="0"/>
                  <w:marBottom w:val="0"/>
                  <w:divBdr>
                    <w:top w:val="none" w:sz="0" w:space="0" w:color="auto"/>
                    <w:left w:val="none" w:sz="0" w:space="0" w:color="auto"/>
                    <w:bottom w:val="none" w:sz="0" w:space="0" w:color="auto"/>
                    <w:right w:val="none" w:sz="0" w:space="0" w:color="auto"/>
                  </w:divBdr>
                  <w:divsChild>
                    <w:div w:id="777414629">
                      <w:marLeft w:val="0"/>
                      <w:marRight w:val="0"/>
                      <w:marTop w:val="0"/>
                      <w:marBottom w:val="0"/>
                      <w:divBdr>
                        <w:top w:val="none" w:sz="0" w:space="0" w:color="auto"/>
                        <w:left w:val="none" w:sz="0" w:space="0" w:color="auto"/>
                        <w:bottom w:val="none" w:sz="0" w:space="0" w:color="auto"/>
                        <w:right w:val="none" w:sz="0" w:space="0" w:color="auto"/>
                      </w:divBdr>
                      <w:divsChild>
                        <w:div w:id="339625907">
                          <w:marLeft w:val="0"/>
                          <w:marRight w:val="0"/>
                          <w:marTop w:val="0"/>
                          <w:marBottom w:val="0"/>
                          <w:divBdr>
                            <w:top w:val="none" w:sz="0" w:space="0" w:color="auto"/>
                            <w:left w:val="none" w:sz="0" w:space="0" w:color="auto"/>
                            <w:bottom w:val="none" w:sz="0" w:space="0" w:color="auto"/>
                            <w:right w:val="none" w:sz="0" w:space="0" w:color="auto"/>
                          </w:divBdr>
                          <w:divsChild>
                            <w:div w:id="205873493">
                              <w:marLeft w:val="0"/>
                              <w:marRight w:val="0"/>
                              <w:marTop w:val="0"/>
                              <w:marBottom w:val="0"/>
                              <w:divBdr>
                                <w:top w:val="none" w:sz="0" w:space="0" w:color="auto"/>
                                <w:left w:val="none" w:sz="0" w:space="0" w:color="auto"/>
                                <w:bottom w:val="none" w:sz="0" w:space="0" w:color="auto"/>
                                <w:right w:val="none" w:sz="0" w:space="0" w:color="auto"/>
                              </w:divBdr>
                              <w:divsChild>
                                <w:div w:id="19209919">
                                  <w:marLeft w:val="0"/>
                                  <w:marRight w:val="0"/>
                                  <w:marTop w:val="0"/>
                                  <w:marBottom w:val="0"/>
                                  <w:divBdr>
                                    <w:top w:val="none" w:sz="0" w:space="0" w:color="auto"/>
                                    <w:left w:val="none" w:sz="0" w:space="0" w:color="auto"/>
                                    <w:bottom w:val="none" w:sz="0" w:space="0" w:color="auto"/>
                                    <w:right w:val="none" w:sz="0" w:space="0" w:color="auto"/>
                                  </w:divBdr>
                                  <w:divsChild>
                                    <w:div w:id="1771124379">
                                      <w:marLeft w:val="0"/>
                                      <w:marRight w:val="0"/>
                                      <w:marTop w:val="0"/>
                                      <w:marBottom w:val="0"/>
                                      <w:divBdr>
                                        <w:top w:val="none" w:sz="0" w:space="0" w:color="auto"/>
                                        <w:left w:val="none" w:sz="0" w:space="0" w:color="auto"/>
                                        <w:bottom w:val="none" w:sz="0" w:space="0" w:color="auto"/>
                                        <w:right w:val="none" w:sz="0" w:space="0" w:color="auto"/>
                                      </w:divBdr>
                                      <w:divsChild>
                                        <w:div w:id="1890417829">
                                          <w:marLeft w:val="0"/>
                                          <w:marRight w:val="0"/>
                                          <w:marTop w:val="0"/>
                                          <w:marBottom w:val="0"/>
                                          <w:divBdr>
                                            <w:top w:val="none" w:sz="0" w:space="0" w:color="auto"/>
                                            <w:left w:val="none" w:sz="0" w:space="0" w:color="auto"/>
                                            <w:bottom w:val="none" w:sz="0" w:space="0" w:color="auto"/>
                                            <w:right w:val="none" w:sz="0" w:space="0" w:color="auto"/>
                                          </w:divBdr>
                                          <w:divsChild>
                                            <w:div w:id="147895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110501">
      <w:bodyDiv w:val="1"/>
      <w:marLeft w:val="0"/>
      <w:marRight w:val="0"/>
      <w:marTop w:val="0"/>
      <w:marBottom w:val="0"/>
      <w:divBdr>
        <w:top w:val="none" w:sz="0" w:space="0" w:color="auto"/>
        <w:left w:val="none" w:sz="0" w:space="0" w:color="auto"/>
        <w:bottom w:val="none" w:sz="0" w:space="0" w:color="auto"/>
        <w:right w:val="none" w:sz="0" w:space="0" w:color="auto"/>
      </w:divBdr>
    </w:div>
    <w:div w:id="243733689">
      <w:bodyDiv w:val="1"/>
      <w:marLeft w:val="0"/>
      <w:marRight w:val="0"/>
      <w:marTop w:val="0"/>
      <w:marBottom w:val="0"/>
      <w:divBdr>
        <w:top w:val="none" w:sz="0" w:space="0" w:color="auto"/>
        <w:left w:val="none" w:sz="0" w:space="0" w:color="auto"/>
        <w:bottom w:val="none" w:sz="0" w:space="0" w:color="auto"/>
        <w:right w:val="none" w:sz="0" w:space="0" w:color="auto"/>
      </w:divBdr>
    </w:div>
    <w:div w:id="306010424">
      <w:bodyDiv w:val="1"/>
      <w:marLeft w:val="0"/>
      <w:marRight w:val="0"/>
      <w:marTop w:val="0"/>
      <w:marBottom w:val="0"/>
      <w:divBdr>
        <w:top w:val="none" w:sz="0" w:space="0" w:color="auto"/>
        <w:left w:val="none" w:sz="0" w:space="0" w:color="auto"/>
        <w:bottom w:val="none" w:sz="0" w:space="0" w:color="auto"/>
        <w:right w:val="none" w:sz="0" w:space="0" w:color="auto"/>
      </w:divBdr>
      <w:divsChild>
        <w:div w:id="1967661549">
          <w:marLeft w:val="0"/>
          <w:marRight w:val="0"/>
          <w:marTop w:val="0"/>
          <w:marBottom w:val="0"/>
          <w:divBdr>
            <w:top w:val="none" w:sz="0" w:space="0" w:color="auto"/>
            <w:left w:val="none" w:sz="0" w:space="0" w:color="auto"/>
            <w:bottom w:val="none" w:sz="0" w:space="0" w:color="auto"/>
            <w:right w:val="none" w:sz="0" w:space="0" w:color="auto"/>
          </w:divBdr>
          <w:divsChild>
            <w:div w:id="638264429">
              <w:marLeft w:val="0"/>
              <w:marRight w:val="0"/>
              <w:marTop w:val="0"/>
              <w:marBottom w:val="0"/>
              <w:divBdr>
                <w:top w:val="none" w:sz="0" w:space="0" w:color="auto"/>
                <w:left w:val="none" w:sz="0" w:space="0" w:color="auto"/>
                <w:bottom w:val="none" w:sz="0" w:space="0" w:color="auto"/>
                <w:right w:val="none" w:sz="0" w:space="0" w:color="auto"/>
              </w:divBdr>
              <w:divsChild>
                <w:div w:id="1085956360">
                  <w:marLeft w:val="0"/>
                  <w:marRight w:val="0"/>
                  <w:marTop w:val="0"/>
                  <w:marBottom w:val="0"/>
                  <w:divBdr>
                    <w:top w:val="none" w:sz="0" w:space="0" w:color="auto"/>
                    <w:left w:val="none" w:sz="0" w:space="0" w:color="auto"/>
                    <w:bottom w:val="none" w:sz="0" w:space="0" w:color="auto"/>
                    <w:right w:val="none" w:sz="0" w:space="0" w:color="auto"/>
                  </w:divBdr>
                  <w:divsChild>
                    <w:div w:id="510993202">
                      <w:marLeft w:val="0"/>
                      <w:marRight w:val="0"/>
                      <w:marTop w:val="0"/>
                      <w:marBottom w:val="0"/>
                      <w:divBdr>
                        <w:top w:val="none" w:sz="0" w:space="0" w:color="auto"/>
                        <w:left w:val="none" w:sz="0" w:space="0" w:color="auto"/>
                        <w:bottom w:val="none" w:sz="0" w:space="0" w:color="auto"/>
                        <w:right w:val="none" w:sz="0" w:space="0" w:color="auto"/>
                      </w:divBdr>
                      <w:divsChild>
                        <w:div w:id="1189757570">
                          <w:marLeft w:val="0"/>
                          <w:marRight w:val="0"/>
                          <w:marTop w:val="0"/>
                          <w:marBottom w:val="0"/>
                          <w:divBdr>
                            <w:top w:val="none" w:sz="0" w:space="0" w:color="auto"/>
                            <w:left w:val="none" w:sz="0" w:space="0" w:color="auto"/>
                            <w:bottom w:val="none" w:sz="0" w:space="0" w:color="auto"/>
                            <w:right w:val="none" w:sz="0" w:space="0" w:color="auto"/>
                          </w:divBdr>
                          <w:divsChild>
                            <w:div w:id="1499079834">
                              <w:marLeft w:val="0"/>
                              <w:marRight w:val="0"/>
                              <w:marTop w:val="0"/>
                              <w:marBottom w:val="0"/>
                              <w:divBdr>
                                <w:top w:val="none" w:sz="0" w:space="0" w:color="auto"/>
                                <w:left w:val="none" w:sz="0" w:space="0" w:color="auto"/>
                                <w:bottom w:val="none" w:sz="0" w:space="0" w:color="auto"/>
                                <w:right w:val="none" w:sz="0" w:space="0" w:color="auto"/>
                              </w:divBdr>
                              <w:divsChild>
                                <w:div w:id="1864439341">
                                  <w:marLeft w:val="0"/>
                                  <w:marRight w:val="0"/>
                                  <w:marTop w:val="0"/>
                                  <w:marBottom w:val="0"/>
                                  <w:divBdr>
                                    <w:top w:val="none" w:sz="0" w:space="0" w:color="auto"/>
                                    <w:left w:val="none" w:sz="0" w:space="0" w:color="auto"/>
                                    <w:bottom w:val="none" w:sz="0" w:space="0" w:color="auto"/>
                                    <w:right w:val="none" w:sz="0" w:space="0" w:color="auto"/>
                                  </w:divBdr>
                                  <w:divsChild>
                                    <w:div w:id="1283802303">
                                      <w:marLeft w:val="0"/>
                                      <w:marRight w:val="0"/>
                                      <w:marTop w:val="0"/>
                                      <w:marBottom w:val="0"/>
                                      <w:divBdr>
                                        <w:top w:val="none" w:sz="0" w:space="0" w:color="auto"/>
                                        <w:left w:val="none" w:sz="0" w:space="0" w:color="auto"/>
                                        <w:bottom w:val="none" w:sz="0" w:space="0" w:color="auto"/>
                                        <w:right w:val="none" w:sz="0" w:space="0" w:color="auto"/>
                                      </w:divBdr>
                                      <w:divsChild>
                                        <w:div w:id="511841907">
                                          <w:marLeft w:val="0"/>
                                          <w:marRight w:val="0"/>
                                          <w:marTop w:val="0"/>
                                          <w:marBottom w:val="0"/>
                                          <w:divBdr>
                                            <w:top w:val="none" w:sz="0" w:space="0" w:color="auto"/>
                                            <w:left w:val="none" w:sz="0" w:space="0" w:color="auto"/>
                                            <w:bottom w:val="none" w:sz="0" w:space="0" w:color="auto"/>
                                            <w:right w:val="none" w:sz="0" w:space="0" w:color="auto"/>
                                          </w:divBdr>
                                          <w:divsChild>
                                            <w:div w:id="19619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8625928">
      <w:bodyDiv w:val="1"/>
      <w:marLeft w:val="0"/>
      <w:marRight w:val="0"/>
      <w:marTop w:val="0"/>
      <w:marBottom w:val="0"/>
      <w:divBdr>
        <w:top w:val="none" w:sz="0" w:space="0" w:color="auto"/>
        <w:left w:val="none" w:sz="0" w:space="0" w:color="auto"/>
        <w:bottom w:val="none" w:sz="0" w:space="0" w:color="auto"/>
        <w:right w:val="none" w:sz="0" w:space="0" w:color="auto"/>
      </w:divBdr>
      <w:divsChild>
        <w:div w:id="1902595178">
          <w:marLeft w:val="0"/>
          <w:marRight w:val="0"/>
          <w:marTop w:val="0"/>
          <w:marBottom w:val="0"/>
          <w:divBdr>
            <w:top w:val="none" w:sz="0" w:space="0" w:color="auto"/>
            <w:left w:val="none" w:sz="0" w:space="0" w:color="auto"/>
            <w:bottom w:val="none" w:sz="0" w:space="0" w:color="auto"/>
            <w:right w:val="none" w:sz="0" w:space="0" w:color="auto"/>
          </w:divBdr>
          <w:divsChild>
            <w:div w:id="1460223197">
              <w:marLeft w:val="0"/>
              <w:marRight w:val="0"/>
              <w:marTop w:val="0"/>
              <w:marBottom w:val="0"/>
              <w:divBdr>
                <w:top w:val="none" w:sz="0" w:space="0" w:color="auto"/>
                <w:left w:val="none" w:sz="0" w:space="0" w:color="auto"/>
                <w:bottom w:val="none" w:sz="0" w:space="0" w:color="auto"/>
                <w:right w:val="none" w:sz="0" w:space="0" w:color="auto"/>
              </w:divBdr>
              <w:divsChild>
                <w:div w:id="1190531395">
                  <w:marLeft w:val="0"/>
                  <w:marRight w:val="0"/>
                  <w:marTop w:val="0"/>
                  <w:marBottom w:val="0"/>
                  <w:divBdr>
                    <w:top w:val="none" w:sz="0" w:space="0" w:color="auto"/>
                    <w:left w:val="none" w:sz="0" w:space="0" w:color="auto"/>
                    <w:bottom w:val="none" w:sz="0" w:space="0" w:color="auto"/>
                    <w:right w:val="none" w:sz="0" w:space="0" w:color="auto"/>
                  </w:divBdr>
                  <w:divsChild>
                    <w:div w:id="324630204">
                      <w:marLeft w:val="0"/>
                      <w:marRight w:val="0"/>
                      <w:marTop w:val="0"/>
                      <w:marBottom w:val="0"/>
                      <w:divBdr>
                        <w:top w:val="none" w:sz="0" w:space="0" w:color="auto"/>
                        <w:left w:val="none" w:sz="0" w:space="0" w:color="auto"/>
                        <w:bottom w:val="none" w:sz="0" w:space="0" w:color="auto"/>
                        <w:right w:val="none" w:sz="0" w:space="0" w:color="auto"/>
                      </w:divBdr>
                      <w:divsChild>
                        <w:div w:id="607615222">
                          <w:marLeft w:val="0"/>
                          <w:marRight w:val="0"/>
                          <w:marTop w:val="0"/>
                          <w:marBottom w:val="0"/>
                          <w:divBdr>
                            <w:top w:val="none" w:sz="0" w:space="0" w:color="auto"/>
                            <w:left w:val="none" w:sz="0" w:space="0" w:color="auto"/>
                            <w:bottom w:val="none" w:sz="0" w:space="0" w:color="auto"/>
                            <w:right w:val="none" w:sz="0" w:space="0" w:color="auto"/>
                          </w:divBdr>
                          <w:divsChild>
                            <w:div w:id="1905290078">
                              <w:marLeft w:val="0"/>
                              <w:marRight w:val="0"/>
                              <w:marTop w:val="0"/>
                              <w:marBottom w:val="0"/>
                              <w:divBdr>
                                <w:top w:val="none" w:sz="0" w:space="0" w:color="auto"/>
                                <w:left w:val="none" w:sz="0" w:space="0" w:color="auto"/>
                                <w:bottom w:val="none" w:sz="0" w:space="0" w:color="auto"/>
                                <w:right w:val="none" w:sz="0" w:space="0" w:color="auto"/>
                              </w:divBdr>
                              <w:divsChild>
                                <w:div w:id="4090760">
                                  <w:marLeft w:val="0"/>
                                  <w:marRight w:val="0"/>
                                  <w:marTop w:val="0"/>
                                  <w:marBottom w:val="0"/>
                                  <w:divBdr>
                                    <w:top w:val="none" w:sz="0" w:space="0" w:color="auto"/>
                                    <w:left w:val="none" w:sz="0" w:space="0" w:color="auto"/>
                                    <w:bottom w:val="none" w:sz="0" w:space="0" w:color="auto"/>
                                    <w:right w:val="none" w:sz="0" w:space="0" w:color="auto"/>
                                  </w:divBdr>
                                  <w:divsChild>
                                    <w:div w:id="145705852">
                                      <w:marLeft w:val="0"/>
                                      <w:marRight w:val="0"/>
                                      <w:marTop w:val="0"/>
                                      <w:marBottom w:val="0"/>
                                      <w:divBdr>
                                        <w:top w:val="none" w:sz="0" w:space="0" w:color="auto"/>
                                        <w:left w:val="none" w:sz="0" w:space="0" w:color="auto"/>
                                        <w:bottom w:val="none" w:sz="0" w:space="0" w:color="auto"/>
                                        <w:right w:val="none" w:sz="0" w:space="0" w:color="auto"/>
                                      </w:divBdr>
                                      <w:divsChild>
                                        <w:div w:id="348261797">
                                          <w:marLeft w:val="0"/>
                                          <w:marRight w:val="0"/>
                                          <w:marTop w:val="0"/>
                                          <w:marBottom w:val="0"/>
                                          <w:divBdr>
                                            <w:top w:val="none" w:sz="0" w:space="0" w:color="auto"/>
                                            <w:left w:val="none" w:sz="0" w:space="0" w:color="auto"/>
                                            <w:bottom w:val="none" w:sz="0" w:space="0" w:color="auto"/>
                                            <w:right w:val="none" w:sz="0" w:space="0" w:color="auto"/>
                                          </w:divBdr>
                                          <w:divsChild>
                                            <w:div w:id="71211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9235396">
      <w:bodyDiv w:val="1"/>
      <w:marLeft w:val="0"/>
      <w:marRight w:val="0"/>
      <w:marTop w:val="0"/>
      <w:marBottom w:val="0"/>
      <w:divBdr>
        <w:top w:val="none" w:sz="0" w:space="0" w:color="auto"/>
        <w:left w:val="none" w:sz="0" w:space="0" w:color="auto"/>
        <w:bottom w:val="none" w:sz="0" w:space="0" w:color="auto"/>
        <w:right w:val="none" w:sz="0" w:space="0" w:color="auto"/>
      </w:divBdr>
      <w:divsChild>
        <w:div w:id="1189417339">
          <w:marLeft w:val="0"/>
          <w:marRight w:val="0"/>
          <w:marTop w:val="0"/>
          <w:marBottom w:val="0"/>
          <w:divBdr>
            <w:top w:val="none" w:sz="0" w:space="0" w:color="auto"/>
            <w:left w:val="none" w:sz="0" w:space="0" w:color="auto"/>
            <w:bottom w:val="none" w:sz="0" w:space="0" w:color="auto"/>
            <w:right w:val="none" w:sz="0" w:space="0" w:color="auto"/>
          </w:divBdr>
          <w:divsChild>
            <w:div w:id="68965857">
              <w:marLeft w:val="0"/>
              <w:marRight w:val="0"/>
              <w:marTop w:val="0"/>
              <w:marBottom w:val="0"/>
              <w:divBdr>
                <w:top w:val="none" w:sz="0" w:space="0" w:color="auto"/>
                <w:left w:val="none" w:sz="0" w:space="0" w:color="auto"/>
                <w:bottom w:val="none" w:sz="0" w:space="0" w:color="auto"/>
                <w:right w:val="none" w:sz="0" w:space="0" w:color="auto"/>
              </w:divBdr>
              <w:divsChild>
                <w:div w:id="244338286">
                  <w:marLeft w:val="0"/>
                  <w:marRight w:val="0"/>
                  <w:marTop w:val="0"/>
                  <w:marBottom w:val="0"/>
                  <w:divBdr>
                    <w:top w:val="none" w:sz="0" w:space="0" w:color="auto"/>
                    <w:left w:val="none" w:sz="0" w:space="0" w:color="auto"/>
                    <w:bottom w:val="none" w:sz="0" w:space="0" w:color="auto"/>
                    <w:right w:val="none" w:sz="0" w:space="0" w:color="auto"/>
                  </w:divBdr>
                  <w:divsChild>
                    <w:div w:id="1963880616">
                      <w:marLeft w:val="0"/>
                      <w:marRight w:val="0"/>
                      <w:marTop w:val="0"/>
                      <w:marBottom w:val="0"/>
                      <w:divBdr>
                        <w:top w:val="none" w:sz="0" w:space="0" w:color="auto"/>
                        <w:left w:val="none" w:sz="0" w:space="0" w:color="auto"/>
                        <w:bottom w:val="none" w:sz="0" w:space="0" w:color="auto"/>
                        <w:right w:val="none" w:sz="0" w:space="0" w:color="auto"/>
                      </w:divBdr>
                      <w:divsChild>
                        <w:div w:id="1890339388">
                          <w:marLeft w:val="0"/>
                          <w:marRight w:val="0"/>
                          <w:marTop w:val="0"/>
                          <w:marBottom w:val="0"/>
                          <w:divBdr>
                            <w:top w:val="none" w:sz="0" w:space="0" w:color="auto"/>
                            <w:left w:val="none" w:sz="0" w:space="0" w:color="auto"/>
                            <w:bottom w:val="none" w:sz="0" w:space="0" w:color="auto"/>
                            <w:right w:val="none" w:sz="0" w:space="0" w:color="auto"/>
                          </w:divBdr>
                          <w:divsChild>
                            <w:div w:id="1357081287">
                              <w:marLeft w:val="0"/>
                              <w:marRight w:val="0"/>
                              <w:marTop w:val="0"/>
                              <w:marBottom w:val="0"/>
                              <w:divBdr>
                                <w:top w:val="none" w:sz="0" w:space="0" w:color="auto"/>
                                <w:left w:val="none" w:sz="0" w:space="0" w:color="auto"/>
                                <w:bottom w:val="none" w:sz="0" w:space="0" w:color="auto"/>
                                <w:right w:val="none" w:sz="0" w:space="0" w:color="auto"/>
                              </w:divBdr>
                              <w:divsChild>
                                <w:div w:id="687608061">
                                  <w:marLeft w:val="0"/>
                                  <w:marRight w:val="0"/>
                                  <w:marTop w:val="0"/>
                                  <w:marBottom w:val="0"/>
                                  <w:divBdr>
                                    <w:top w:val="none" w:sz="0" w:space="0" w:color="auto"/>
                                    <w:left w:val="none" w:sz="0" w:space="0" w:color="auto"/>
                                    <w:bottom w:val="none" w:sz="0" w:space="0" w:color="auto"/>
                                    <w:right w:val="none" w:sz="0" w:space="0" w:color="auto"/>
                                  </w:divBdr>
                                  <w:divsChild>
                                    <w:div w:id="419647117">
                                      <w:marLeft w:val="0"/>
                                      <w:marRight w:val="0"/>
                                      <w:marTop w:val="0"/>
                                      <w:marBottom w:val="0"/>
                                      <w:divBdr>
                                        <w:top w:val="none" w:sz="0" w:space="0" w:color="auto"/>
                                        <w:left w:val="none" w:sz="0" w:space="0" w:color="auto"/>
                                        <w:bottom w:val="none" w:sz="0" w:space="0" w:color="auto"/>
                                        <w:right w:val="none" w:sz="0" w:space="0" w:color="auto"/>
                                      </w:divBdr>
                                      <w:divsChild>
                                        <w:div w:id="1182889966">
                                          <w:marLeft w:val="0"/>
                                          <w:marRight w:val="0"/>
                                          <w:marTop w:val="0"/>
                                          <w:marBottom w:val="0"/>
                                          <w:divBdr>
                                            <w:top w:val="none" w:sz="0" w:space="0" w:color="auto"/>
                                            <w:left w:val="none" w:sz="0" w:space="0" w:color="auto"/>
                                            <w:bottom w:val="none" w:sz="0" w:space="0" w:color="auto"/>
                                            <w:right w:val="none" w:sz="0" w:space="0" w:color="auto"/>
                                          </w:divBdr>
                                          <w:divsChild>
                                            <w:div w:id="85225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4860124">
      <w:bodyDiv w:val="1"/>
      <w:marLeft w:val="0"/>
      <w:marRight w:val="0"/>
      <w:marTop w:val="0"/>
      <w:marBottom w:val="0"/>
      <w:divBdr>
        <w:top w:val="none" w:sz="0" w:space="0" w:color="auto"/>
        <w:left w:val="none" w:sz="0" w:space="0" w:color="auto"/>
        <w:bottom w:val="none" w:sz="0" w:space="0" w:color="auto"/>
        <w:right w:val="none" w:sz="0" w:space="0" w:color="auto"/>
      </w:divBdr>
    </w:div>
    <w:div w:id="827405889">
      <w:bodyDiv w:val="1"/>
      <w:marLeft w:val="0"/>
      <w:marRight w:val="0"/>
      <w:marTop w:val="0"/>
      <w:marBottom w:val="0"/>
      <w:divBdr>
        <w:top w:val="none" w:sz="0" w:space="0" w:color="auto"/>
        <w:left w:val="none" w:sz="0" w:space="0" w:color="auto"/>
        <w:bottom w:val="none" w:sz="0" w:space="0" w:color="auto"/>
        <w:right w:val="none" w:sz="0" w:space="0" w:color="auto"/>
      </w:divBdr>
    </w:div>
    <w:div w:id="985544859">
      <w:bodyDiv w:val="1"/>
      <w:marLeft w:val="0"/>
      <w:marRight w:val="0"/>
      <w:marTop w:val="0"/>
      <w:marBottom w:val="0"/>
      <w:divBdr>
        <w:top w:val="none" w:sz="0" w:space="0" w:color="auto"/>
        <w:left w:val="none" w:sz="0" w:space="0" w:color="auto"/>
        <w:bottom w:val="none" w:sz="0" w:space="0" w:color="auto"/>
        <w:right w:val="none" w:sz="0" w:space="0" w:color="auto"/>
      </w:divBdr>
    </w:div>
    <w:div w:id="1032071505">
      <w:bodyDiv w:val="1"/>
      <w:marLeft w:val="0"/>
      <w:marRight w:val="0"/>
      <w:marTop w:val="0"/>
      <w:marBottom w:val="0"/>
      <w:divBdr>
        <w:top w:val="none" w:sz="0" w:space="0" w:color="auto"/>
        <w:left w:val="none" w:sz="0" w:space="0" w:color="auto"/>
        <w:bottom w:val="none" w:sz="0" w:space="0" w:color="auto"/>
        <w:right w:val="none" w:sz="0" w:space="0" w:color="auto"/>
      </w:divBdr>
      <w:divsChild>
        <w:div w:id="812913226">
          <w:marLeft w:val="0"/>
          <w:marRight w:val="0"/>
          <w:marTop w:val="0"/>
          <w:marBottom w:val="0"/>
          <w:divBdr>
            <w:top w:val="none" w:sz="0" w:space="0" w:color="auto"/>
            <w:left w:val="none" w:sz="0" w:space="0" w:color="auto"/>
            <w:bottom w:val="none" w:sz="0" w:space="0" w:color="auto"/>
            <w:right w:val="none" w:sz="0" w:space="0" w:color="auto"/>
          </w:divBdr>
          <w:divsChild>
            <w:div w:id="1135175401">
              <w:marLeft w:val="0"/>
              <w:marRight w:val="0"/>
              <w:marTop w:val="0"/>
              <w:marBottom w:val="0"/>
              <w:divBdr>
                <w:top w:val="none" w:sz="0" w:space="0" w:color="auto"/>
                <w:left w:val="none" w:sz="0" w:space="0" w:color="auto"/>
                <w:bottom w:val="none" w:sz="0" w:space="0" w:color="auto"/>
                <w:right w:val="none" w:sz="0" w:space="0" w:color="auto"/>
              </w:divBdr>
              <w:divsChild>
                <w:div w:id="1062412332">
                  <w:marLeft w:val="0"/>
                  <w:marRight w:val="0"/>
                  <w:marTop w:val="0"/>
                  <w:marBottom w:val="0"/>
                  <w:divBdr>
                    <w:top w:val="none" w:sz="0" w:space="0" w:color="auto"/>
                    <w:left w:val="none" w:sz="0" w:space="0" w:color="auto"/>
                    <w:bottom w:val="none" w:sz="0" w:space="0" w:color="auto"/>
                    <w:right w:val="none" w:sz="0" w:space="0" w:color="auto"/>
                  </w:divBdr>
                  <w:divsChild>
                    <w:div w:id="988363755">
                      <w:marLeft w:val="0"/>
                      <w:marRight w:val="0"/>
                      <w:marTop w:val="0"/>
                      <w:marBottom w:val="0"/>
                      <w:divBdr>
                        <w:top w:val="none" w:sz="0" w:space="0" w:color="auto"/>
                        <w:left w:val="none" w:sz="0" w:space="0" w:color="auto"/>
                        <w:bottom w:val="none" w:sz="0" w:space="0" w:color="auto"/>
                        <w:right w:val="none" w:sz="0" w:space="0" w:color="auto"/>
                      </w:divBdr>
                      <w:divsChild>
                        <w:div w:id="849297948">
                          <w:marLeft w:val="0"/>
                          <w:marRight w:val="0"/>
                          <w:marTop w:val="0"/>
                          <w:marBottom w:val="0"/>
                          <w:divBdr>
                            <w:top w:val="none" w:sz="0" w:space="0" w:color="auto"/>
                            <w:left w:val="none" w:sz="0" w:space="0" w:color="auto"/>
                            <w:bottom w:val="none" w:sz="0" w:space="0" w:color="auto"/>
                            <w:right w:val="none" w:sz="0" w:space="0" w:color="auto"/>
                          </w:divBdr>
                          <w:divsChild>
                            <w:div w:id="183597609">
                              <w:marLeft w:val="0"/>
                              <w:marRight w:val="0"/>
                              <w:marTop w:val="0"/>
                              <w:marBottom w:val="0"/>
                              <w:divBdr>
                                <w:top w:val="none" w:sz="0" w:space="0" w:color="auto"/>
                                <w:left w:val="none" w:sz="0" w:space="0" w:color="auto"/>
                                <w:bottom w:val="none" w:sz="0" w:space="0" w:color="auto"/>
                                <w:right w:val="none" w:sz="0" w:space="0" w:color="auto"/>
                              </w:divBdr>
                              <w:divsChild>
                                <w:div w:id="1211267027">
                                  <w:marLeft w:val="0"/>
                                  <w:marRight w:val="0"/>
                                  <w:marTop w:val="0"/>
                                  <w:marBottom w:val="0"/>
                                  <w:divBdr>
                                    <w:top w:val="none" w:sz="0" w:space="0" w:color="auto"/>
                                    <w:left w:val="none" w:sz="0" w:space="0" w:color="auto"/>
                                    <w:bottom w:val="none" w:sz="0" w:space="0" w:color="auto"/>
                                    <w:right w:val="none" w:sz="0" w:space="0" w:color="auto"/>
                                  </w:divBdr>
                                  <w:divsChild>
                                    <w:div w:id="1860703686">
                                      <w:marLeft w:val="0"/>
                                      <w:marRight w:val="0"/>
                                      <w:marTop w:val="0"/>
                                      <w:marBottom w:val="0"/>
                                      <w:divBdr>
                                        <w:top w:val="none" w:sz="0" w:space="0" w:color="auto"/>
                                        <w:left w:val="none" w:sz="0" w:space="0" w:color="auto"/>
                                        <w:bottom w:val="none" w:sz="0" w:space="0" w:color="auto"/>
                                        <w:right w:val="none" w:sz="0" w:space="0" w:color="auto"/>
                                      </w:divBdr>
                                      <w:divsChild>
                                        <w:div w:id="1840653267">
                                          <w:marLeft w:val="0"/>
                                          <w:marRight w:val="0"/>
                                          <w:marTop w:val="0"/>
                                          <w:marBottom w:val="0"/>
                                          <w:divBdr>
                                            <w:top w:val="none" w:sz="0" w:space="0" w:color="auto"/>
                                            <w:left w:val="none" w:sz="0" w:space="0" w:color="auto"/>
                                            <w:bottom w:val="none" w:sz="0" w:space="0" w:color="auto"/>
                                            <w:right w:val="none" w:sz="0" w:space="0" w:color="auto"/>
                                          </w:divBdr>
                                          <w:divsChild>
                                            <w:div w:id="33253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2918425">
      <w:bodyDiv w:val="1"/>
      <w:marLeft w:val="0"/>
      <w:marRight w:val="0"/>
      <w:marTop w:val="0"/>
      <w:marBottom w:val="0"/>
      <w:divBdr>
        <w:top w:val="none" w:sz="0" w:space="0" w:color="auto"/>
        <w:left w:val="none" w:sz="0" w:space="0" w:color="auto"/>
        <w:bottom w:val="none" w:sz="0" w:space="0" w:color="auto"/>
        <w:right w:val="none" w:sz="0" w:space="0" w:color="auto"/>
      </w:divBdr>
      <w:divsChild>
        <w:div w:id="1024863360">
          <w:marLeft w:val="0"/>
          <w:marRight w:val="0"/>
          <w:marTop w:val="0"/>
          <w:marBottom w:val="0"/>
          <w:divBdr>
            <w:top w:val="none" w:sz="0" w:space="0" w:color="auto"/>
            <w:left w:val="none" w:sz="0" w:space="0" w:color="auto"/>
            <w:bottom w:val="none" w:sz="0" w:space="0" w:color="auto"/>
            <w:right w:val="none" w:sz="0" w:space="0" w:color="auto"/>
          </w:divBdr>
          <w:divsChild>
            <w:div w:id="621348913">
              <w:marLeft w:val="0"/>
              <w:marRight w:val="0"/>
              <w:marTop w:val="0"/>
              <w:marBottom w:val="0"/>
              <w:divBdr>
                <w:top w:val="none" w:sz="0" w:space="0" w:color="auto"/>
                <w:left w:val="none" w:sz="0" w:space="0" w:color="auto"/>
                <w:bottom w:val="none" w:sz="0" w:space="0" w:color="auto"/>
                <w:right w:val="none" w:sz="0" w:space="0" w:color="auto"/>
              </w:divBdr>
              <w:divsChild>
                <w:div w:id="1620718930">
                  <w:marLeft w:val="0"/>
                  <w:marRight w:val="0"/>
                  <w:marTop w:val="0"/>
                  <w:marBottom w:val="0"/>
                  <w:divBdr>
                    <w:top w:val="none" w:sz="0" w:space="0" w:color="auto"/>
                    <w:left w:val="none" w:sz="0" w:space="0" w:color="auto"/>
                    <w:bottom w:val="none" w:sz="0" w:space="0" w:color="auto"/>
                    <w:right w:val="none" w:sz="0" w:space="0" w:color="auto"/>
                  </w:divBdr>
                  <w:divsChild>
                    <w:div w:id="593903650">
                      <w:marLeft w:val="0"/>
                      <w:marRight w:val="0"/>
                      <w:marTop w:val="0"/>
                      <w:marBottom w:val="0"/>
                      <w:divBdr>
                        <w:top w:val="none" w:sz="0" w:space="0" w:color="auto"/>
                        <w:left w:val="none" w:sz="0" w:space="0" w:color="auto"/>
                        <w:bottom w:val="none" w:sz="0" w:space="0" w:color="auto"/>
                        <w:right w:val="none" w:sz="0" w:space="0" w:color="auto"/>
                      </w:divBdr>
                      <w:divsChild>
                        <w:div w:id="977761396">
                          <w:marLeft w:val="0"/>
                          <w:marRight w:val="0"/>
                          <w:marTop w:val="0"/>
                          <w:marBottom w:val="0"/>
                          <w:divBdr>
                            <w:top w:val="none" w:sz="0" w:space="0" w:color="auto"/>
                            <w:left w:val="none" w:sz="0" w:space="0" w:color="auto"/>
                            <w:bottom w:val="none" w:sz="0" w:space="0" w:color="auto"/>
                            <w:right w:val="none" w:sz="0" w:space="0" w:color="auto"/>
                          </w:divBdr>
                          <w:divsChild>
                            <w:div w:id="652369414">
                              <w:marLeft w:val="0"/>
                              <w:marRight w:val="0"/>
                              <w:marTop w:val="0"/>
                              <w:marBottom w:val="0"/>
                              <w:divBdr>
                                <w:top w:val="none" w:sz="0" w:space="0" w:color="auto"/>
                                <w:left w:val="none" w:sz="0" w:space="0" w:color="auto"/>
                                <w:bottom w:val="none" w:sz="0" w:space="0" w:color="auto"/>
                                <w:right w:val="none" w:sz="0" w:space="0" w:color="auto"/>
                              </w:divBdr>
                              <w:divsChild>
                                <w:div w:id="1710377623">
                                  <w:marLeft w:val="0"/>
                                  <w:marRight w:val="0"/>
                                  <w:marTop w:val="0"/>
                                  <w:marBottom w:val="0"/>
                                  <w:divBdr>
                                    <w:top w:val="none" w:sz="0" w:space="0" w:color="auto"/>
                                    <w:left w:val="none" w:sz="0" w:space="0" w:color="auto"/>
                                    <w:bottom w:val="none" w:sz="0" w:space="0" w:color="auto"/>
                                    <w:right w:val="none" w:sz="0" w:space="0" w:color="auto"/>
                                  </w:divBdr>
                                  <w:divsChild>
                                    <w:div w:id="1775128718">
                                      <w:marLeft w:val="0"/>
                                      <w:marRight w:val="0"/>
                                      <w:marTop w:val="0"/>
                                      <w:marBottom w:val="0"/>
                                      <w:divBdr>
                                        <w:top w:val="none" w:sz="0" w:space="0" w:color="auto"/>
                                        <w:left w:val="none" w:sz="0" w:space="0" w:color="auto"/>
                                        <w:bottom w:val="none" w:sz="0" w:space="0" w:color="auto"/>
                                        <w:right w:val="none" w:sz="0" w:space="0" w:color="auto"/>
                                      </w:divBdr>
                                      <w:divsChild>
                                        <w:div w:id="1190025225">
                                          <w:marLeft w:val="0"/>
                                          <w:marRight w:val="0"/>
                                          <w:marTop w:val="0"/>
                                          <w:marBottom w:val="0"/>
                                          <w:divBdr>
                                            <w:top w:val="none" w:sz="0" w:space="0" w:color="auto"/>
                                            <w:left w:val="none" w:sz="0" w:space="0" w:color="auto"/>
                                            <w:bottom w:val="none" w:sz="0" w:space="0" w:color="auto"/>
                                            <w:right w:val="none" w:sz="0" w:space="0" w:color="auto"/>
                                          </w:divBdr>
                                          <w:divsChild>
                                            <w:div w:id="66532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3913589">
      <w:bodyDiv w:val="1"/>
      <w:marLeft w:val="0"/>
      <w:marRight w:val="0"/>
      <w:marTop w:val="0"/>
      <w:marBottom w:val="0"/>
      <w:divBdr>
        <w:top w:val="none" w:sz="0" w:space="0" w:color="auto"/>
        <w:left w:val="none" w:sz="0" w:space="0" w:color="auto"/>
        <w:bottom w:val="none" w:sz="0" w:space="0" w:color="auto"/>
        <w:right w:val="none" w:sz="0" w:space="0" w:color="auto"/>
      </w:divBdr>
      <w:divsChild>
        <w:div w:id="392587059">
          <w:marLeft w:val="0"/>
          <w:marRight w:val="0"/>
          <w:marTop w:val="0"/>
          <w:marBottom w:val="0"/>
          <w:divBdr>
            <w:top w:val="none" w:sz="0" w:space="0" w:color="auto"/>
            <w:left w:val="none" w:sz="0" w:space="0" w:color="auto"/>
            <w:bottom w:val="none" w:sz="0" w:space="0" w:color="auto"/>
            <w:right w:val="none" w:sz="0" w:space="0" w:color="auto"/>
          </w:divBdr>
          <w:divsChild>
            <w:div w:id="617569390">
              <w:marLeft w:val="0"/>
              <w:marRight w:val="0"/>
              <w:marTop w:val="0"/>
              <w:marBottom w:val="0"/>
              <w:divBdr>
                <w:top w:val="none" w:sz="0" w:space="0" w:color="auto"/>
                <w:left w:val="none" w:sz="0" w:space="0" w:color="auto"/>
                <w:bottom w:val="none" w:sz="0" w:space="0" w:color="auto"/>
                <w:right w:val="none" w:sz="0" w:space="0" w:color="auto"/>
              </w:divBdr>
              <w:divsChild>
                <w:div w:id="194973611">
                  <w:marLeft w:val="0"/>
                  <w:marRight w:val="0"/>
                  <w:marTop w:val="0"/>
                  <w:marBottom w:val="0"/>
                  <w:divBdr>
                    <w:top w:val="none" w:sz="0" w:space="0" w:color="auto"/>
                    <w:left w:val="none" w:sz="0" w:space="0" w:color="auto"/>
                    <w:bottom w:val="none" w:sz="0" w:space="0" w:color="auto"/>
                    <w:right w:val="none" w:sz="0" w:space="0" w:color="auto"/>
                  </w:divBdr>
                  <w:divsChild>
                    <w:div w:id="1943536240">
                      <w:marLeft w:val="0"/>
                      <w:marRight w:val="0"/>
                      <w:marTop w:val="0"/>
                      <w:marBottom w:val="0"/>
                      <w:divBdr>
                        <w:top w:val="none" w:sz="0" w:space="0" w:color="auto"/>
                        <w:left w:val="none" w:sz="0" w:space="0" w:color="auto"/>
                        <w:bottom w:val="none" w:sz="0" w:space="0" w:color="auto"/>
                        <w:right w:val="none" w:sz="0" w:space="0" w:color="auto"/>
                      </w:divBdr>
                      <w:divsChild>
                        <w:div w:id="819925660">
                          <w:marLeft w:val="0"/>
                          <w:marRight w:val="0"/>
                          <w:marTop w:val="0"/>
                          <w:marBottom w:val="0"/>
                          <w:divBdr>
                            <w:top w:val="none" w:sz="0" w:space="0" w:color="auto"/>
                            <w:left w:val="none" w:sz="0" w:space="0" w:color="auto"/>
                            <w:bottom w:val="none" w:sz="0" w:space="0" w:color="auto"/>
                            <w:right w:val="none" w:sz="0" w:space="0" w:color="auto"/>
                          </w:divBdr>
                          <w:divsChild>
                            <w:div w:id="724714882">
                              <w:marLeft w:val="0"/>
                              <w:marRight w:val="0"/>
                              <w:marTop w:val="0"/>
                              <w:marBottom w:val="0"/>
                              <w:divBdr>
                                <w:top w:val="none" w:sz="0" w:space="0" w:color="auto"/>
                                <w:left w:val="none" w:sz="0" w:space="0" w:color="auto"/>
                                <w:bottom w:val="none" w:sz="0" w:space="0" w:color="auto"/>
                                <w:right w:val="none" w:sz="0" w:space="0" w:color="auto"/>
                              </w:divBdr>
                              <w:divsChild>
                                <w:div w:id="458036970">
                                  <w:marLeft w:val="0"/>
                                  <w:marRight w:val="0"/>
                                  <w:marTop w:val="0"/>
                                  <w:marBottom w:val="0"/>
                                  <w:divBdr>
                                    <w:top w:val="none" w:sz="0" w:space="0" w:color="auto"/>
                                    <w:left w:val="none" w:sz="0" w:space="0" w:color="auto"/>
                                    <w:bottom w:val="none" w:sz="0" w:space="0" w:color="auto"/>
                                    <w:right w:val="none" w:sz="0" w:space="0" w:color="auto"/>
                                  </w:divBdr>
                                  <w:divsChild>
                                    <w:div w:id="538974981">
                                      <w:marLeft w:val="0"/>
                                      <w:marRight w:val="0"/>
                                      <w:marTop w:val="0"/>
                                      <w:marBottom w:val="0"/>
                                      <w:divBdr>
                                        <w:top w:val="none" w:sz="0" w:space="0" w:color="auto"/>
                                        <w:left w:val="none" w:sz="0" w:space="0" w:color="auto"/>
                                        <w:bottom w:val="none" w:sz="0" w:space="0" w:color="auto"/>
                                        <w:right w:val="none" w:sz="0" w:space="0" w:color="auto"/>
                                      </w:divBdr>
                                      <w:divsChild>
                                        <w:div w:id="321398244">
                                          <w:marLeft w:val="0"/>
                                          <w:marRight w:val="0"/>
                                          <w:marTop w:val="0"/>
                                          <w:marBottom w:val="0"/>
                                          <w:divBdr>
                                            <w:top w:val="none" w:sz="0" w:space="0" w:color="auto"/>
                                            <w:left w:val="none" w:sz="0" w:space="0" w:color="auto"/>
                                            <w:bottom w:val="none" w:sz="0" w:space="0" w:color="auto"/>
                                            <w:right w:val="none" w:sz="0" w:space="0" w:color="auto"/>
                                          </w:divBdr>
                                          <w:divsChild>
                                            <w:div w:id="71042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2376845">
      <w:bodyDiv w:val="1"/>
      <w:marLeft w:val="0"/>
      <w:marRight w:val="0"/>
      <w:marTop w:val="0"/>
      <w:marBottom w:val="0"/>
      <w:divBdr>
        <w:top w:val="none" w:sz="0" w:space="0" w:color="auto"/>
        <w:left w:val="none" w:sz="0" w:space="0" w:color="auto"/>
        <w:bottom w:val="none" w:sz="0" w:space="0" w:color="auto"/>
        <w:right w:val="none" w:sz="0" w:space="0" w:color="auto"/>
      </w:divBdr>
      <w:divsChild>
        <w:div w:id="909003696">
          <w:marLeft w:val="0"/>
          <w:marRight w:val="0"/>
          <w:marTop w:val="0"/>
          <w:marBottom w:val="0"/>
          <w:divBdr>
            <w:top w:val="none" w:sz="0" w:space="0" w:color="auto"/>
            <w:left w:val="none" w:sz="0" w:space="0" w:color="auto"/>
            <w:bottom w:val="none" w:sz="0" w:space="0" w:color="auto"/>
            <w:right w:val="none" w:sz="0" w:space="0" w:color="auto"/>
          </w:divBdr>
          <w:divsChild>
            <w:div w:id="425610987">
              <w:marLeft w:val="0"/>
              <w:marRight w:val="0"/>
              <w:marTop w:val="0"/>
              <w:marBottom w:val="0"/>
              <w:divBdr>
                <w:top w:val="none" w:sz="0" w:space="0" w:color="auto"/>
                <w:left w:val="none" w:sz="0" w:space="0" w:color="auto"/>
                <w:bottom w:val="none" w:sz="0" w:space="0" w:color="auto"/>
                <w:right w:val="none" w:sz="0" w:space="0" w:color="auto"/>
              </w:divBdr>
              <w:divsChild>
                <w:div w:id="1928615919">
                  <w:marLeft w:val="0"/>
                  <w:marRight w:val="0"/>
                  <w:marTop w:val="0"/>
                  <w:marBottom w:val="0"/>
                  <w:divBdr>
                    <w:top w:val="none" w:sz="0" w:space="0" w:color="auto"/>
                    <w:left w:val="none" w:sz="0" w:space="0" w:color="auto"/>
                    <w:bottom w:val="none" w:sz="0" w:space="0" w:color="auto"/>
                    <w:right w:val="none" w:sz="0" w:space="0" w:color="auto"/>
                  </w:divBdr>
                  <w:divsChild>
                    <w:div w:id="1575163858">
                      <w:marLeft w:val="0"/>
                      <w:marRight w:val="0"/>
                      <w:marTop w:val="0"/>
                      <w:marBottom w:val="0"/>
                      <w:divBdr>
                        <w:top w:val="none" w:sz="0" w:space="0" w:color="auto"/>
                        <w:left w:val="none" w:sz="0" w:space="0" w:color="auto"/>
                        <w:bottom w:val="none" w:sz="0" w:space="0" w:color="auto"/>
                        <w:right w:val="none" w:sz="0" w:space="0" w:color="auto"/>
                      </w:divBdr>
                      <w:divsChild>
                        <w:div w:id="369842832">
                          <w:marLeft w:val="0"/>
                          <w:marRight w:val="0"/>
                          <w:marTop w:val="0"/>
                          <w:marBottom w:val="0"/>
                          <w:divBdr>
                            <w:top w:val="none" w:sz="0" w:space="0" w:color="auto"/>
                            <w:left w:val="none" w:sz="0" w:space="0" w:color="auto"/>
                            <w:bottom w:val="none" w:sz="0" w:space="0" w:color="auto"/>
                            <w:right w:val="none" w:sz="0" w:space="0" w:color="auto"/>
                          </w:divBdr>
                          <w:divsChild>
                            <w:div w:id="926422168">
                              <w:marLeft w:val="0"/>
                              <w:marRight w:val="0"/>
                              <w:marTop w:val="0"/>
                              <w:marBottom w:val="0"/>
                              <w:divBdr>
                                <w:top w:val="none" w:sz="0" w:space="0" w:color="auto"/>
                                <w:left w:val="none" w:sz="0" w:space="0" w:color="auto"/>
                                <w:bottom w:val="none" w:sz="0" w:space="0" w:color="auto"/>
                                <w:right w:val="none" w:sz="0" w:space="0" w:color="auto"/>
                              </w:divBdr>
                              <w:divsChild>
                                <w:div w:id="1891574187">
                                  <w:marLeft w:val="0"/>
                                  <w:marRight w:val="0"/>
                                  <w:marTop w:val="0"/>
                                  <w:marBottom w:val="0"/>
                                  <w:divBdr>
                                    <w:top w:val="none" w:sz="0" w:space="0" w:color="auto"/>
                                    <w:left w:val="none" w:sz="0" w:space="0" w:color="auto"/>
                                    <w:bottom w:val="none" w:sz="0" w:space="0" w:color="auto"/>
                                    <w:right w:val="none" w:sz="0" w:space="0" w:color="auto"/>
                                  </w:divBdr>
                                  <w:divsChild>
                                    <w:div w:id="1390155177">
                                      <w:marLeft w:val="0"/>
                                      <w:marRight w:val="0"/>
                                      <w:marTop w:val="0"/>
                                      <w:marBottom w:val="0"/>
                                      <w:divBdr>
                                        <w:top w:val="none" w:sz="0" w:space="0" w:color="auto"/>
                                        <w:left w:val="none" w:sz="0" w:space="0" w:color="auto"/>
                                        <w:bottom w:val="none" w:sz="0" w:space="0" w:color="auto"/>
                                        <w:right w:val="none" w:sz="0" w:space="0" w:color="auto"/>
                                      </w:divBdr>
                                      <w:divsChild>
                                        <w:div w:id="1507132001">
                                          <w:marLeft w:val="0"/>
                                          <w:marRight w:val="0"/>
                                          <w:marTop w:val="0"/>
                                          <w:marBottom w:val="0"/>
                                          <w:divBdr>
                                            <w:top w:val="none" w:sz="0" w:space="0" w:color="auto"/>
                                            <w:left w:val="none" w:sz="0" w:space="0" w:color="auto"/>
                                            <w:bottom w:val="none" w:sz="0" w:space="0" w:color="auto"/>
                                            <w:right w:val="none" w:sz="0" w:space="0" w:color="auto"/>
                                          </w:divBdr>
                                          <w:divsChild>
                                            <w:div w:id="11059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3127147">
      <w:bodyDiv w:val="1"/>
      <w:marLeft w:val="0"/>
      <w:marRight w:val="0"/>
      <w:marTop w:val="0"/>
      <w:marBottom w:val="0"/>
      <w:divBdr>
        <w:top w:val="none" w:sz="0" w:space="0" w:color="auto"/>
        <w:left w:val="none" w:sz="0" w:space="0" w:color="auto"/>
        <w:bottom w:val="none" w:sz="0" w:space="0" w:color="auto"/>
        <w:right w:val="none" w:sz="0" w:space="0" w:color="auto"/>
      </w:divBdr>
    </w:div>
    <w:div w:id="1591423426">
      <w:bodyDiv w:val="1"/>
      <w:marLeft w:val="0"/>
      <w:marRight w:val="0"/>
      <w:marTop w:val="0"/>
      <w:marBottom w:val="0"/>
      <w:divBdr>
        <w:top w:val="none" w:sz="0" w:space="0" w:color="auto"/>
        <w:left w:val="none" w:sz="0" w:space="0" w:color="auto"/>
        <w:bottom w:val="none" w:sz="0" w:space="0" w:color="auto"/>
        <w:right w:val="none" w:sz="0" w:space="0" w:color="auto"/>
      </w:divBdr>
    </w:div>
    <w:div w:id="1605074052">
      <w:bodyDiv w:val="1"/>
      <w:marLeft w:val="0"/>
      <w:marRight w:val="0"/>
      <w:marTop w:val="0"/>
      <w:marBottom w:val="0"/>
      <w:divBdr>
        <w:top w:val="none" w:sz="0" w:space="0" w:color="auto"/>
        <w:left w:val="none" w:sz="0" w:space="0" w:color="auto"/>
        <w:bottom w:val="none" w:sz="0" w:space="0" w:color="auto"/>
        <w:right w:val="none" w:sz="0" w:space="0" w:color="auto"/>
      </w:divBdr>
      <w:divsChild>
        <w:div w:id="1823768400">
          <w:marLeft w:val="0"/>
          <w:marRight w:val="0"/>
          <w:marTop w:val="0"/>
          <w:marBottom w:val="0"/>
          <w:divBdr>
            <w:top w:val="none" w:sz="0" w:space="0" w:color="auto"/>
            <w:left w:val="none" w:sz="0" w:space="0" w:color="auto"/>
            <w:bottom w:val="none" w:sz="0" w:space="0" w:color="auto"/>
            <w:right w:val="none" w:sz="0" w:space="0" w:color="auto"/>
          </w:divBdr>
          <w:divsChild>
            <w:div w:id="775055697">
              <w:marLeft w:val="0"/>
              <w:marRight w:val="0"/>
              <w:marTop w:val="0"/>
              <w:marBottom w:val="0"/>
              <w:divBdr>
                <w:top w:val="none" w:sz="0" w:space="0" w:color="auto"/>
                <w:left w:val="none" w:sz="0" w:space="0" w:color="auto"/>
                <w:bottom w:val="none" w:sz="0" w:space="0" w:color="auto"/>
                <w:right w:val="none" w:sz="0" w:space="0" w:color="auto"/>
              </w:divBdr>
              <w:divsChild>
                <w:div w:id="1882666643">
                  <w:marLeft w:val="0"/>
                  <w:marRight w:val="0"/>
                  <w:marTop w:val="0"/>
                  <w:marBottom w:val="0"/>
                  <w:divBdr>
                    <w:top w:val="none" w:sz="0" w:space="0" w:color="auto"/>
                    <w:left w:val="none" w:sz="0" w:space="0" w:color="auto"/>
                    <w:bottom w:val="none" w:sz="0" w:space="0" w:color="auto"/>
                    <w:right w:val="none" w:sz="0" w:space="0" w:color="auto"/>
                  </w:divBdr>
                  <w:divsChild>
                    <w:div w:id="1202018226">
                      <w:marLeft w:val="0"/>
                      <w:marRight w:val="0"/>
                      <w:marTop w:val="0"/>
                      <w:marBottom w:val="0"/>
                      <w:divBdr>
                        <w:top w:val="none" w:sz="0" w:space="0" w:color="auto"/>
                        <w:left w:val="none" w:sz="0" w:space="0" w:color="auto"/>
                        <w:bottom w:val="none" w:sz="0" w:space="0" w:color="auto"/>
                        <w:right w:val="none" w:sz="0" w:space="0" w:color="auto"/>
                      </w:divBdr>
                      <w:divsChild>
                        <w:div w:id="1253665408">
                          <w:marLeft w:val="0"/>
                          <w:marRight w:val="0"/>
                          <w:marTop w:val="0"/>
                          <w:marBottom w:val="0"/>
                          <w:divBdr>
                            <w:top w:val="none" w:sz="0" w:space="0" w:color="auto"/>
                            <w:left w:val="none" w:sz="0" w:space="0" w:color="auto"/>
                            <w:bottom w:val="none" w:sz="0" w:space="0" w:color="auto"/>
                            <w:right w:val="none" w:sz="0" w:space="0" w:color="auto"/>
                          </w:divBdr>
                          <w:divsChild>
                            <w:div w:id="1323239863">
                              <w:marLeft w:val="0"/>
                              <w:marRight w:val="0"/>
                              <w:marTop w:val="0"/>
                              <w:marBottom w:val="0"/>
                              <w:divBdr>
                                <w:top w:val="none" w:sz="0" w:space="0" w:color="auto"/>
                                <w:left w:val="none" w:sz="0" w:space="0" w:color="auto"/>
                                <w:bottom w:val="none" w:sz="0" w:space="0" w:color="auto"/>
                                <w:right w:val="none" w:sz="0" w:space="0" w:color="auto"/>
                              </w:divBdr>
                              <w:divsChild>
                                <w:div w:id="1622416778">
                                  <w:marLeft w:val="0"/>
                                  <w:marRight w:val="0"/>
                                  <w:marTop w:val="0"/>
                                  <w:marBottom w:val="0"/>
                                  <w:divBdr>
                                    <w:top w:val="none" w:sz="0" w:space="0" w:color="auto"/>
                                    <w:left w:val="none" w:sz="0" w:space="0" w:color="auto"/>
                                    <w:bottom w:val="none" w:sz="0" w:space="0" w:color="auto"/>
                                    <w:right w:val="none" w:sz="0" w:space="0" w:color="auto"/>
                                  </w:divBdr>
                                  <w:divsChild>
                                    <w:div w:id="2008483409">
                                      <w:marLeft w:val="0"/>
                                      <w:marRight w:val="0"/>
                                      <w:marTop w:val="0"/>
                                      <w:marBottom w:val="0"/>
                                      <w:divBdr>
                                        <w:top w:val="none" w:sz="0" w:space="0" w:color="auto"/>
                                        <w:left w:val="none" w:sz="0" w:space="0" w:color="auto"/>
                                        <w:bottom w:val="none" w:sz="0" w:space="0" w:color="auto"/>
                                        <w:right w:val="none" w:sz="0" w:space="0" w:color="auto"/>
                                      </w:divBdr>
                                      <w:divsChild>
                                        <w:div w:id="639187802">
                                          <w:marLeft w:val="0"/>
                                          <w:marRight w:val="0"/>
                                          <w:marTop w:val="0"/>
                                          <w:marBottom w:val="0"/>
                                          <w:divBdr>
                                            <w:top w:val="none" w:sz="0" w:space="0" w:color="auto"/>
                                            <w:left w:val="none" w:sz="0" w:space="0" w:color="auto"/>
                                            <w:bottom w:val="none" w:sz="0" w:space="0" w:color="auto"/>
                                            <w:right w:val="none" w:sz="0" w:space="0" w:color="auto"/>
                                          </w:divBdr>
                                          <w:divsChild>
                                            <w:div w:id="43694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504862">
      <w:bodyDiv w:val="1"/>
      <w:marLeft w:val="0"/>
      <w:marRight w:val="0"/>
      <w:marTop w:val="0"/>
      <w:marBottom w:val="0"/>
      <w:divBdr>
        <w:top w:val="none" w:sz="0" w:space="0" w:color="auto"/>
        <w:left w:val="none" w:sz="0" w:space="0" w:color="auto"/>
        <w:bottom w:val="none" w:sz="0" w:space="0" w:color="auto"/>
        <w:right w:val="none" w:sz="0" w:space="0" w:color="auto"/>
      </w:divBdr>
    </w:div>
    <w:div w:id="1668710218">
      <w:bodyDiv w:val="1"/>
      <w:marLeft w:val="0"/>
      <w:marRight w:val="0"/>
      <w:marTop w:val="0"/>
      <w:marBottom w:val="0"/>
      <w:divBdr>
        <w:top w:val="none" w:sz="0" w:space="0" w:color="auto"/>
        <w:left w:val="none" w:sz="0" w:space="0" w:color="auto"/>
        <w:bottom w:val="none" w:sz="0" w:space="0" w:color="auto"/>
        <w:right w:val="none" w:sz="0" w:space="0" w:color="auto"/>
      </w:divBdr>
    </w:div>
    <w:div w:id="1805736034">
      <w:bodyDiv w:val="1"/>
      <w:marLeft w:val="0"/>
      <w:marRight w:val="0"/>
      <w:marTop w:val="0"/>
      <w:marBottom w:val="0"/>
      <w:divBdr>
        <w:top w:val="none" w:sz="0" w:space="0" w:color="auto"/>
        <w:left w:val="none" w:sz="0" w:space="0" w:color="auto"/>
        <w:bottom w:val="none" w:sz="0" w:space="0" w:color="auto"/>
        <w:right w:val="none" w:sz="0" w:space="0" w:color="auto"/>
      </w:divBdr>
      <w:divsChild>
        <w:div w:id="832113234">
          <w:marLeft w:val="0"/>
          <w:marRight w:val="0"/>
          <w:marTop w:val="0"/>
          <w:marBottom w:val="0"/>
          <w:divBdr>
            <w:top w:val="none" w:sz="0" w:space="0" w:color="auto"/>
            <w:left w:val="none" w:sz="0" w:space="0" w:color="auto"/>
            <w:bottom w:val="none" w:sz="0" w:space="0" w:color="auto"/>
            <w:right w:val="none" w:sz="0" w:space="0" w:color="auto"/>
          </w:divBdr>
          <w:divsChild>
            <w:div w:id="1215002784">
              <w:marLeft w:val="0"/>
              <w:marRight w:val="0"/>
              <w:marTop w:val="0"/>
              <w:marBottom w:val="0"/>
              <w:divBdr>
                <w:top w:val="none" w:sz="0" w:space="0" w:color="auto"/>
                <w:left w:val="none" w:sz="0" w:space="0" w:color="auto"/>
                <w:bottom w:val="none" w:sz="0" w:space="0" w:color="auto"/>
                <w:right w:val="none" w:sz="0" w:space="0" w:color="auto"/>
              </w:divBdr>
              <w:divsChild>
                <w:div w:id="680470286">
                  <w:marLeft w:val="0"/>
                  <w:marRight w:val="0"/>
                  <w:marTop w:val="0"/>
                  <w:marBottom w:val="0"/>
                  <w:divBdr>
                    <w:top w:val="none" w:sz="0" w:space="0" w:color="auto"/>
                    <w:left w:val="none" w:sz="0" w:space="0" w:color="auto"/>
                    <w:bottom w:val="none" w:sz="0" w:space="0" w:color="auto"/>
                    <w:right w:val="none" w:sz="0" w:space="0" w:color="auto"/>
                  </w:divBdr>
                  <w:divsChild>
                    <w:div w:id="417409515">
                      <w:marLeft w:val="0"/>
                      <w:marRight w:val="0"/>
                      <w:marTop w:val="0"/>
                      <w:marBottom w:val="0"/>
                      <w:divBdr>
                        <w:top w:val="none" w:sz="0" w:space="0" w:color="auto"/>
                        <w:left w:val="none" w:sz="0" w:space="0" w:color="auto"/>
                        <w:bottom w:val="none" w:sz="0" w:space="0" w:color="auto"/>
                        <w:right w:val="none" w:sz="0" w:space="0" w:color="auto"/>
                      </w:divBdr>
                      <w:divsChild>
                        <w:div w:id="703557707">
                          <w:marLeft w:val="0"/>
                          <w:marRight w:val="0"/>
                          <w:marTop w:val="0"/>
                          <w:marBottom w:val="0"/>
                          <w:divBdr>
                            <w:top w:val="none" w:sz="0" w:space="0" w:color="auto"/>
                            <w:left w:val="none" w:sz="0" w:space="0" w:color="auto"/>
                            <w:bottom w:val="none" w:sz="0" w:space="0" w:color="auto"/>
                            <w:right w:val="none" w:sz="0" w:space="0" w:color="auto"/>
                          </w:divBdr>
                          <w:divsChild>
                            <w:div w:id="2079087417">
                              <w:marLeft w:val="0"/>
                              <w:marRight w:val="0"/>
                              <w:marTop w:val="0"/>
                              <w:marBottom w:val="0"/>
                              <w:divBdr>
                                <w:top w:val="none" w:sz="0" w:space="0" w:color="auto"/>
                                <w:left w:val="none" w:sz="0" w:space="0" w:color="auto"/>
                                <w:bottom w:val="none" w:sz="0" w:space="0" w:color="auto"/>
                                <w:right w:val="none" w:sz="0" w:space="0" w:color="auto"/>
                              </w:divBdr>
                              <w:divsChild>
                                <w:div w:id="2108111089">
                                  <w:marLeft w:val="0"/>
                                  <w:marRight w:val="0"/>
                                  <w:marTop w:val="0"/>
                                  <w:marBottom w:val="0"/>
                                  <w:divBdr>
                                    <w:top w:val="none" w:sz="0" w:space="0" w:color="auto"/>
                                    <w:left w:val="none" w:sz="0" w:space="0" w:color="auto"/>
                                    <w:bottom w:val="none" w:sz="0" w:space="0" w:color="auto"/>
                                    <w:right w:val="none" w:sz="0" w:space="0" w:color="auto"/>
                                  </w:divBdr>
                                  <w:divsChild>
                                    <w:div w:id="886798381">
                                      <w:marLeft w:val="0"/>
                                      <w:marRight w:val="0"/>
                                      <w:marTop w:val="0"/>
                                      <w:marBottom w:val="0"/>
                                      <w:divBdr>
                                        <w:top w:val="none" w:sz="0" w:space="0" w:color="auto"/>
                                        <w:left w:val="none" w:sz="0" w:space="0" w:color="auto"/>
                                        <w:bottom w:val="none" w:sz="0" w:space="0" w:color="auto"/>
                                        <w:right w:val="none" w:sz="0" w:space="0" w:color="auto"/>
                                      </w:divBdr>
                                      <w:divsChild>
                                        <w:div w:id="1761638757">
                                          <w:marLeft w:val="0"/>
                                          <w:marRight w:val="0"/>
                                          <w:marTop w:val="0"/>
                                          <w:marBottom w:val="0"/>
                                          <w:divBdr>
                                            <w:top w:val="none" w:sz="0" w:space="0" w:color="auto"/>
                                            <w:left w:val="none" w:sz="0" w:space="0" w:color="auto"/>
                                            <w:bottom w:val="none" w:sz="0" w:space="0" w:color="auto"/>
                                            <w:right w:val="none" w:sz="0" w:space="0" w:color="auto"/>
                                          </w:divBdr>
                                          <w:divsChild>
                                            <w:div w:id="114812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7628024">
      <w:bodyDiv w:val="1"/>
      <w:marLeft w:val="0"/>
      <w:marRight w:val="0"/>
      <w:marTop w:val="0"/>
      <w:marBottom w:val="0"/>
      <w:divBdr>
        <w:top w:val="none" w:sz="0" w:space="0" w:color="auto"/>
        <w:left w:val="none" w:sz="0" w:space="0" w:color="auto"/>
        <w:bottom w:val="none" w:sz="0" w:space="0" w:color="auto"/>
        <w:right w:val="none" w:sz="0" w:space="0" w:color="auto"/>
      </w:divBdr>
    </w:div>
    <w:div w:id="1850484398">
      <w:bodyDiv w:val="1"/>
      <w:marLeft w:val="0"/>
      <w:marRight w:val="0"/>
      <w:marTop w:val="0"/>
      <w:marBottom w:val="0"/>
      <w:divBdr>
        <w:top w:val="none" w:sz="0" w:space="0" w:color="auto"/>
        <w:left w:val="none" w:sz="0" w:space="0" w:color="auto"/>
        <w:bottom w:val="none" w:sz="0" w:space="0" w:color="auto"/>
        <w:right w:val="none" w:sz="0" w:space="0" w:color="auto"/>
      </w:divBdr>
      <w:divsChild>
        <w:div w:id="1751998447">
          <w:marLeft w:val="0"/>
          <w:marRight w:val="0"/>
          <w:marTop w:val="0"/>
          <w:marBottom w:val="0"/>
          <w:divBdr>
            <w:top w:val="none" w:sz="0" w:space="0" w:color="auto"/>
            <w:left w:val="none" w:sz="0" w:space="0" w:color="auto"/>
            <w:bottom w:val="none" w:sz="0" w:space="0" w:color="auto"/>
            <w:right w:val="none" w:sz="0" w:space="0" w:color="auto"/>
          </w:divBdr>
          <w:divsChild>
            <w:div w:id="1594585606">
              <w:marLeft w:val="0"/>
              <w:marRight w:val="0"/>
              <w:marTop w:val="0"/>
              <w:marBottom w:val="0"/>
              <w:divBdr>
                <w:top w:val="none" w:sz="0" w:space="0" w:color="auto"/>
                <w:left w:val="none" w:sz="0" w:space="0" w:color="auto"/>
                <w:bottom w:val="none" w:sz="0" w:space="0" w:color="auto"/>
                <w:right w:val="none" w:sz="0" w:space="0" w:color="auto"/>
              </w:divBdr>
              <w:divsChild>
                <w:div w:id="1341080420">
                  <w:marLeft w:val="0"/>
                  <w:marRight w:val="0"/>
                  <w:marTop w:val="0"/>
                  <w:marBottom w:val="0"/>
                  <w:divBdr>
                    <w:top w:val="none" w:sz="0" w:space="0" w:color="auto"/>
                    <w:left w:val="none" w:sz="0" w:space="0" w:color="auto"/>
                    <w:bottom w:val="none" w:sz="0" w:space="0" w:color="auto"/>
                    <w:right w:val="none" w:sz="0" w:space="0" w:color="auto"/>
                  </w:divBdr>
                  <w:divsChild>
                    <w:div w:id="265623802">
                      <w:marLeft w:val="0"/>
                      <w:marRight w:val="0"/>
                      <w:marTop w:val="0"/>
                      <w:marBottom w:val="0"/>
                      <w:divBdr>
                        <w:top w:val="none" w:sz="0" w:space="0" w:color="auto"/>
                        <w:left w:val="none" w:sz="0" w:space="0" w:color="auto"/>
                        <w:bottom w:val="none" w:sz="0" w:space="0" w:color="auto"/>
                        <w:right w:val="none" w:sz="0" w:space="0" w:color="auto"/>
                      </w:divBdr>
                      <w:divsChild>
                        <w:div w:id="347678112">
                          <w:marLeft w:val="0"/>
                          <w:marRight w:val="0"/>
                          <w:marTop w:val="0"/>
                          <w:marBottom w:val="0"/>
                          <w:divBdr>
                            <w:top w:val="none" w:sz="0" w:space="0" w:color="auto"/>
                            <w:left w:val="none" w:sz="0" w:space="0" w:color="auto"/>
                            <w:bottom w:val="none" w:sz="0" w:space="0" w:color="auto"/>
                            <w:right w:val="none" w:sz="0" w:space="0" w:color="auto"/>
                          </w:divBdr>
                          <w:divsChild>
                            <w:div w:id="1718163275">
                              <w:marLeft w:val="0"/>
                              <w:marRight w:val="0"/>
                              <w:marTop w:val="0"/>
                              <w:marBottom w:val="0"/>
                              <w:divBdr>
                                <w:top w:val="none" w:sz="0" w:space="0" w:color="auto"/>
                                <w:left w:val="none" w:sz="0" w:space="0" w:color="auto"/>
                                <w:bottom w:val="none" w:sz="0" w:space="0" w:color="auto"/>
                                <w:right w:val="none" w:sz="0" w:space="0" w:color="auto"/>
                              </w:divBdr>
                              <w:divsChild>
                                <w:div w:id="1659310577">
                                  <w:marLeft w:val="0"/>
                                  <w:marRight w:val="0"/>
                                  <w:marTop w:val="0"/>
                                  <w:marBottom w:val="0"/>
                                  <w:divBdr>
                                    <w:top w:val="none" w:sz="0" w:space="0" w:color="auto"/>
                                    <w:left w:val="none" w:sz="0" w:space="0" w:color="auto"/>
                                    <w:bottom w:val="none" w:sz="0" w:space="0" w:color="auto"/>
                                    <w:right w:val="none" w:sz="0" w:space="0" w:color="auto"/>
                                  </w:divBdr>
                                  <w:divsChild>
                                    <w:div w:id="946961382">
                                      <w:marLeft w:val="0"/>
                                      <w:marRight w:val="0"/>
                                      <w:marTop w:val="0"/>
                                      <w:marBottom w:val="0"/>
                                      <w:divBdr>
                                        <w:top w:val="none" w:sz="0" w:space="0" w:color="auto"/>
                                        <w:left w:val="none" w:sz="0" w:space="0" w:color="auto"/>
                                        <w:bottom w:val="none" w:sz="0" w:space="0" w:color="auto"/>
                                        <w:right w:val="none" w:sz="0" w:space="0" w:color="auto"/>
                                      </w:divBdr>
                                      <w:divsChild>
                                        <w:div w:id="708410765">
                                          <w:marLeft w:val="0"/>
                                          <w:marRight w:val="0"/>
                                          <w:marTop w:val="0"/>
                                          <w:marBottom w:val="0"/>
                                          <w:divBdr>
                                            <w:top w:val="none" w:sz="0" w:space="0" w:color="auto"/>
                                            <w:left w:val="none" w:sz="0" w:space="0" w:color="auto"/>
                                            <w:bottom w:val="none" w:sz="0" w:space="0" w:color="auto"/>
                                            <w:right w:val="none" w:sz="0" w:space="0" w:color="auto"/>
                                          </w:divBdr>
                                          <w:divsChild>
                                            <w:div w:id="97421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3712245">
      <w:bodyDiv w:val="1"/>
      <w:marLeft w:val="0"/>
      <w:marRight w:val="0"/>
      <w:marTop w:val="0"/>
      <w:marBottom w:val="0"/>
      <w:divBdr>
        <w:top w:val="none" w:sz="0" w:space="0" w:color="auto"/>
        <w:left w:val="none" w:sz="0" w:space="0" w:color="auto"/>
        <w:bottom w:val="none" w:sz="0" w:space="0" w:color="auto"/>
        <w:right w:val="none" w:sz="0" w:space="0" w:color="auto"/>
      </w:divBdr>
      <w:divsChild>
        <w:div w:id="1836997561">
          <w:marLeft w:val="0"/>
          <w:marRight w:val="0"/>
          <w:marTop w:val="0"/>
          <w:marBottom w:val="0"/>
          <w:divBdr>
            <w:top w:val="none" w:sz="0" w:space="0" w:color="auto"/>
            <w:left w:val="none" w:sz="0" w:space="0" w:color="auto"/>
            <w:bottom w:val="none" w:sz="0" w:space="0" w:color="auto"/>
            <w:right w:val="none" w:sz="0" w:space="0" w:color="auto"/>
          </w:divBdr>
          <w:divsChild>
            <w:div w:id="556746653">
              <w:marLeft w:val="0"/>
              <w:marRight w:val="0"/>
              <w:marTop w:val="0"/>
              <w:marBottom w:val="0"/>
              <w:divBdr>
                <w:top w:val="none" w:sz="0" w:space="0" w:color="auto"/>
                <w:left w:val="none" w:sz="0" w:space="0" w:color="auto"/>
                <w:bottom w:val="none" w:sz="0" w:space="0" w:color="auto"/>
                <w:right w:val="none" w:sz="0" w:space="0" w:color="auto"/>
              </w:divBdr>
              <w:divsChild>
                <w:div w:id="333847731">
                  <w:marLeft w:val="0"/>
                  <w:marRight w:val="0"/>
                  <w:marTop w:val="0"/>
                  <w:marBottom w:val="0"/>
                  <w:divBdr>
                    <w:top w:val="none" w:sz="0" w:space="0" w:color="auto"/>
                    <w:left w:val="none" w:sz="0" w:space="0" w:color="auto"/>
                    <w:bottom w:val="none" w:sz="0" w:space="0" w:color="auto"/>
                    <w:right w:val="none" w:sz="0" w:space="0" w:color="auto"/>
                  </w:divBdr>
                  <w:divsChild>
                    <w:div w:id="611204504">
                      <w:marLeft w:val="0"/>
                      <w:marRight w:val="0"/>
                      <w:marTop w:val="0"/>
                      <w:marBottom w:val="0"/>
                      <w:divBdr>
                        <w:top w:val="none" w:sz="0" w:space="0" w:color="auto"/>
                        <w:left w:val="none" w:sz="0" w:space="0" w:color="auto"/>
                        <w:bottom w:val="none" w:sz="0" w:space="0" w:color="auto"/>
                        <w:right w:val="none" w:sz="0" w:space="0" w:color="auto"/>
                      </w:divBdr>
                      <w:divsChild>
                        <w:div w:id="1729723218">
                          <w:marLeft w:val="0"/>
                          <w:marRight w:val="0"/>
                          <w:marTop w:val="0"/>
                          <w:marBottom w:val="0"/>
                          <w:divBdr>
                            <w:top w:val="none" w:sz="0" w:space="0" w:color="auto"/>
                            <w:left w:val="none" w:sz="0" w:space="0" w:color="auto"/>
                            <w:bottom w:val="none" w:sz="0" w:space="0" w:color="auto"/>
                            <w:right w:val="none" w:sz="0" w:space="0" w:color="auto"/>
                          </w:divBdr>
                          <w:divsChild>
                            <w:div w:id="1971131483">
                              <w:marLeft w:val="0"/>
                              <w:marRight w:val="0"/>
                              <w:marTop w:val="0"/>
                              <w:marBottom w:val="0"/>
                              <w:divBdr>
                                <w:top w:val="none" w:sz="0" w:space="0" w:color="auto"/>
                                <w:left w:val="none" w:sz="0" w:space="0" w:color="auto"/>
                                <w:bottom w:val="none" w:sz="0" w:space="0" w:color="auto"/>
                                <w:right w:val="none" w:sz="0" w:space="0" w:color="auto"/>
                              </w:divBdr>
                              <w:divsChild>
                                <w:div w:id="1796288919">
                                  <w:marLeft w:val="0"/>
                                  <w:marRight w:val="0"/>
                                  <w:marTop w:val="0"/>
                                  <w:marBottom w:val="0"/>
                                  <w:divBdr>
                                    <w:top w:val="none" w:sz="0" w:space="0" w:color="auto"/>
                                    <w:left w:val="none" w:sz="0" w:space="0" w:color="auto"/>
                                    <w:bottom w:val="none" w:sz="0" w:space="0" w:color="auto"/>
                                    <w:right w:val="none" w:sz="0" w:space="0" w:color="auto"/>
                                  </w:divBdr>
                                  <w:divsChild>
                                    <w:div w:id="343483561">
                                      <w:marLeft w:val="0"/>
                                      <w:marRight w:val="0"/>
                                      <w:marTop w:val="0"/>
                                      <w:marBottom w:val="0"/>
                                      <w:divBdr>
                                        <w:top w:val="none" w:sz="0" w:space="0" w:color="auto"/>
                                        <w:left w:val="none" w:sz="0" w:space="0" w:color="auto"/>
                                        <w:bottom w:val="none" w:sz="0" w:space="0" w:color="auto"/>
                                        <w:right w:val="none" w:sz="0" w:space="0" w:color="auto"/>
                                      </w:divBdr>
                                      <w:divsChild>
                                        <w:div w:id="1097869779">
                                          <w:marLeft w:val="0"/>
                                          <w:marRight w:val="0"/>
                                          <w:marTop w:val="0"/>
                                          <w:marBottom w:val="0"/>
                                          <w:divBdr>
                                            <w:top w:val="none" w:sz="0" w:space="0" w:color="auto"/>
                                            <w:left w:val="none" w:sz="0" w:space="0" w:color="auto"/>
                                            <w:bottom w:val="none" w:sz="0" w:space="0" w:color="auto"/>
                                            <w:right w:val="none" w:sz="0" w:space="0" w:color="auto"/>
                                          </w:divBdr>
                                          <w:divsChild>
                                            <w:div w:id="191596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2856047">
      <w:bodyDiv w:val="1"/>
      <w:marLeft w:val="0"/>
      <w:marRight w:val="0"/>
      <w:marTop w:val="0"/>
      <w:marBottom w:val="0"/>
      <w:divBdr>
        <w:top w:val="none" w:sz="0" w:space="0" w:color="auto"/>
        <w:left w:val="none" w:sz="0" w:space="0" w:color="auto"/>
        <w:bottom w:val="none" w:sz="0" w:space="0" w:color="auto"/>
        <w:right w:val="none" w:sz="0" w:space="0" w:color="auto"/>
      </w:divBdr>
      <w:divsChild>
        <w:div w:id="511723291">
          <w:marLeft w:val="0"/>
          <w:marRight w:val="0"/>
          <w:marTop w:val="0"/>
          <w:marBottom w:val="0"/>
          <w:divBdr>
            <w:top w:val="none" w:sz="0" w:space="0" w:color="auto"/>
            <w:left w:val="none" w:sz="0" w:space="0" w:color="auto"/>
            <w:bottom w:val="none" w:sz="0" w:space="0" w:color="auto"/>
            <w:right w:val="none" w:sz="0" w:space="0" w:color="auto"/>
          </w:divBdr>
          <w:divsChild>
            <w:div w:id="1671903053">
              <w:marLeft w:val="0"/>
              <w:marRight w:val="0"/>
              <w:marTop w:val="0"/>
              <w:marBottom w:val="0"/>
              <w:divBdr>
                <w:top w:val="none" w:sz="0" w:space="0" w:color="auto"/>
                <w:left w:val="none" w:sz="0" w:space="0" w:color="auto"/>
                <w:bottom w:val="none" w:sz="0" w:space="0" w:color="auto"/>
                <w:right w:val="none" w:sz="0" w:space="0" w:color="auto"/>
              </w:divBdr>
              <w:divsChild>
                <w:div w:id="1452164740">
                  <w:marLeft w:val="0"/>
                  <w:marRight w:val="0"/>
                  <w:marTop w:val="0"/>
                  <w:marBottom w:val="0"/>
                  <w:divBdr>
                    <w:top w:val="none" w:sz="0" w:space="0" w:color="auto"/>
                    <w:left w:val="none" w:sz="0" w:space="0" w:color="auto"/>
                    <w:bottom w:val="none" w:sz="0" w:space="0" w:color="auto"/>
                    <w:right w:val="none" w:sz="0" w:space="0" w:color="auto"/>
                  </w:divBdr>
                  <w:divsChild>
                    <w:div w:id="1844734912">
                      <w:marLeft w:val="0"/>
                      <w:marRight w:val="0"/>
                      <w:marTop w:val="0"/>
                      <w:marBottom w:val="0"/>
                      <w:divBdr>
                        <w:top w:val="none" w:sz="0" w:space="0" w:color="auto"/>
                        <w:left w:val="none" w:sz="0" w:space="0" w:color="auto"/>
                        <w:bottom w:val="none" w:sz="0" w:space="0" w:color="auto"/>
                        <w:right w:val="none" w:sz="0" w:space="0" w:color="auto"/>
                      </w:divBdr>
                      <w:divsChild>
                        <w:div w:id="2007976731">
                          <w:marLeft w:val="0"/>
                          <w:marRight w:val="0"/>
                          <w:marTop w:val="0"/>
                          <w:marBottom w:val="0"/>
                          <w:divBdr>
                            <w:top w:val="none" w:sz="0" w:space="0" w:color="auto"/>
                            <w:left w:val="none" w:sz="0" w:space="0" w:color="auto"/>
                            <w:bottom w:val="none" w:sz="0" w:space="0" w:color="auto"/>
                            <w:right w:val="none" w:sz="0" w:space="0" w:color="auto"/>
                          </w:divBdr>
                          <w:divsChild>
                            <w:div w:id="1030182641">
                              <w:marLeft w:val="0"/>
                              <w:marRight w:val="0"/>
                              <w:marTop w:val="0"/>
                              <w:marBottom w:val="0"/>
                              <w:divBdr>
                                <w:top w:val="none" w:sz="0" w:space="0" w:color="auto"/>
                                <w:left w:val="none" w:sz="0" w:space="0" w:color="auto"/>
                                <w:bottom w:val="none" w:sz="0" w:space="0" w:color="auto"/>
                                <w:right w:val="none" w:sz="0" w:space="0" w:color="auto"/>
                              </w:divBdr>
                              <w:divsChild>
                                <w:div w:id="1003045120">
                                  <w:marLeft w:val="0"/>
                                  <w:marRight w:val="0"/>
                                  <w:marTop w:val="0"/>
                                  <w:marBottom w:val="0"/>
                                  <w:divBdr>
                                    <w:top w:val="none" w:sz="0" w:space="0" w:color="auto"/>
                                    <w:left w:val="none" w:sz="0" w:space="0" w:color="auto"/>
                                    <w:bottom w:val="none" w:sz="0" w:space="0" w:color="auto"/>
                                    <w:right w:val="none" w:sz="0" w:space="0" w:color="auto"/>
                                  </w:divBdr>
                                  <w:divsChild>
                                    <w:div w:id="97218619">
                                      <w:marLeft w:val="0"/>
                                      <w:marRight w:val="0"/>
                                      <w:marTop w:val="0"/>
                                      <w:marBottom w:val="0"/>
                                      <w:divBdr>
                                        <w:top w:val="none" w:sz="0" w:space="0" w:color="auto"/>
                                        <w:left w:val="none" w:sz="0" w:space="0" w:color="auto"/>
                                        <w:bottom w:val="none" w:sz="0" w:space="0" w:color="auto"/>
                                        <w:right w:val="none" w:sz="0" w:space="0" w:color="auto"/>
                                      </w:divBdr>
                                      <w:divsChild>
                                        <w:div w:id="502280966">
                                          <w:marLeft w:val="0"/>
                                          <w:marRight w:val="0"/>
                                          <w:marTop w:val="0"/>
                                          <w:marBottom w:val="0"/>
                                          <w:divBdr>
                                            <w:top w:val="none" w:sz="0" w:space="0" w:color="auto"/>
                                            <w:left w:val="none" w:sz="0" w:space="0" w:color="auto"/>
                                            <w:bottom w:val="none" w:sz="0" w:space="0" w:color="auto"/>
                                            <w:right w:val="none" w:sz="0" w:space="0" w:color="auto"/>
                                          </w:divBdr>
                                          <w:divsChild>
                                            <w:div w:id="175840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3898321">
      <w:bodyDiv w:val="1"/>
      <w:marLeft w:val="0"/>
      <w:marRight w:val="0"/>
      <w:marTop w:val="0"/>
      <w:marBottom w:val="0"/>
      <w:divBdr>
        <w:top w:val="none" w:sz="0" w:space="0" w:color="auto"/>
        <w:left w:val="none" w:sz="0" w:space="0" w:color="auto"/>
        <w:bottom w:val="none" w:sz="0" w:space="0" w:color="auto"/>
        <w:right w:val="none" w:sz="0" w:space="0" w:color="auto"/>
      </w:divBdr>
      <w:divsChild>
        <w:div w:id="2141872451">
          <w:marLeft w:val="0"/>
          <w:marRight w:val="0"/>
          <w:marTop w:val="0"/>
          <w:marBottom w:val="0"/>
          <w:divBdr>
            <w:top w:val="none" w:sz="0" w:space="0" w:color="auto"/>
            <w:left w:val="none" w:sz="0" w:space="0" w:color="auto"/>
            <w:bottom w:val="none" w:sz="0" w:space="0" w:color="auto"/>
            <w:right w:val="none" w:sz="0" w:space="0" w:color="auto"/>
          </w:divBdr>
          <w:divsChild>
            <w:div w:id="1056465930">
              <w:marLeft w:val="0"/>
              <w:marRight w:val="0"/>
              <w:marTop w:val="0"/>
              <w:marBottom w:val="0"/>
              <w:divBdr>
                <w:top w:val="none" w:sz="0" w:space="0" w:color="auto"/>
                <w:left w:val="none" w:sz="0" w:space="0" w:color="auto"/>
                <w:bottom w:val="none" w:sz="0" w:space="0" w:color="auto"/>
                <w:right w:val="none" w:sz="0" w:space="0" w:color="auto"/>
              </w:divBdr>
              <w:divsChild>
                <w:div w:id="460153671">
                  <w:marLeft w:val="0"/>
                  <w:marRight w:val="0"/>
                  <w:marTop w:val="0"/>
                  <w:marBottom w:val="0"/>
                  <w:divBdr>
                    <w:top w:val="none" w:sz="0" w:space="0" w:color="auto"/>
                    <w:left w:val="none" w:sz="0" w:space="0" w:color="auto"/>
                    <w:bottom w:val="none" w:sz="0" w:space="0" w:color="auto"/>
                    <w:right w:val="none" w:sz="0" w:space="0" w:color="auto"/>
                  </w:divBdr>
                  <w:divsChild>
                    <w:div w:id="1150632465">
                      <w:marLeft w:val="0"/>
                      <w:marRight w:val="0"/>
                      <w:marTop w:val="0"/>
                      <w:marBottom w:val="0"/>
                      <w:divBdr>
                        <w:top w:val="none" w:sz="0" w:space="0" w:color="auto"/>
                        <w:left w:val="none" w:sz="0" w:space="0" w:color="auto"/>
                        <w:bottom w:val="none" w:sz="0" w:space="0" w:color="auto"/>
                        <w:right w:val="none" w:sz="0" w:space="0" w:color="auto"/>
                      </w:divBdr>
                      <w:divsChild>
                        <w:div w:id="1683583302">
                          <w:marLeft w:val="0"/>
                          <w:marRight w:val="0"/>
                          <w:marTop w:val="0"/>
                          <w:marBottom w:val="0"/>
                          <w:divBdr>
                            <w:top w:val="none" w:sz="0" w:space="0" w:color="auto"/>
                            <w:left w:val="none" w:sz="0" w:space="0" w:color="auto"/>
                            <w:bottom w:val="none" w:sz="0" w:space="0" w:color="auto"/>
                            <w:right w:val="none" w:sz="0" w:space="0" w:color="auto"/>
                          </w:divBdr>
                          <w:divsChild>
                            <w:div w:id="1664504310">
                              <w:marLeft w:val="0"/>
                              <w:marRight w:val="0"/>
                              <w:marTop w:val="0"/>
                              <w:marBottom w:val="0"/>
                              <w:divBdr>
                                <w:top w:val="none" w:sz="0" w:space="0" w:color="auto"/>
                                <w:left w:val="none" w:sz="0" w:space="0" w:color="auto"/>
                                <w:bottom w:val="none" w:sz="0" w:space="0" w:color="auto"/>
                                <w:right w:val="none" w:sz="0" w:space="0" w:color="auto"/>
                              </w:divBdr>
                              <w:divsChild>
                                <w:div w:id="1820151509">
                                  <w:marLeft w:val="0"/>
                                  <w:marRight w:val="0"/>
                                  <w:marTop w:val="0"/>
                                  <w:marBottom w:val="0"/>
                                  <w:divBdr>
                                    <w:top w:val="none" w:sz="0" w:space="0" w:color="auto"/>
                                    <w:left w:val="none" w:sz="0" w:space="0" w:color="auto"/>
                                    <w:bottom w:val="none" w:sz="0" w:space="0" w:color="auto"/>
                                    <w:right w:val="none" w:sz="0" w:space="0" w:color="auto"/>
                                  </w:divBdr>
                                  <w:divsChild>
                                    <w:div w:id="772898748">
                                      <w:marLeft w:val="0"/>
                                      <w:marRight w:val="0"/>
                                      <w:marTop w:val="0"/>
                                      <w:marBottom w:val="0"/>
                                      <w:divBdr>
                                        <w:top w:val="none" w:sz="0" w:space="0" w:color="auto"/>
                                        <w:left w:val="none" w:sz="0" w:space="0" w:color="auto"/>
                                        <w:bottom w:val="none" w:sz="0" w:space="0" w:color="auto"/>
                                        <w:right w:val="none" w:sz="0" w:space="0" w:color="auto"/>
                                      </w:divBdr>
                                      <w:divsChild>
                                        <w:div w:id="1784574575">
                                          <w:marLeft w:val="0"/>
                                          <w:marRight w:val="0"/>
                                          <w:marTop w:val="0"/>
                                          <w:marBottom w:val="0"/>
                                          <w:divBdr>
                                            <w:top w:val="none" w:sz="0" w:space="0" w:color="auto"/>
                                            <w:left w:val="none" w:sz="0" w:space="0" w:color="auto"/>
                                            <w:bottom w:val="none" w:sz="0" w:space="0" w:color="auto"/>
                                            <w:right w:val="none" w:sz="0" w:space="0" w:color="auto"/>
                                          </w:divBdr>
                                          <w:divsChild>
                                            <w:div w:id="4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404622">
      <w:bodyDiv w:val="1"/>
      <w:marLeft w:val="0"/>
      <w:marRight w:val="0"/>
      <w:marTop w:val="0"/>
      <w:marBottom w:val="0"/>
      <w:divBdr>
        <w:top w:val="none" w:sz="0" w:space="0" w:color="auto"/>
        <w:left w:val="none" w:sz="0" w:space="0" w:color="auto"/>
        <w:bottom w:val="none" w:sz="0" w:space="0" w:color="auto"/>
        <w:right w:val="none" w:sz="0" w:space="0" w:color="auto"/>
      </w:divBdr>
      <w:divsChild>
        <w:div w:id="850685002">
          <w:marLeft w:val="0"/>
          <w:marRight w:val="0"/>
          <w:marTop w:val="0"/>
          <w:marBottom w:val="0"/>
          <w:divBdr>
            <w:top w:val="none" w:sz="0" w:space="0" w:color="auto"/>
            <w:left w:val="none" w:sz="0" w:space="0" w:color="auto"/>
            <w:bottom w:val="none" w:sz="0" w:space="0" w:color="auto"/>
            <w:right w:val="none" w:sz="0" w:space="0" w:color="auto"/>
          </w:divBdr>
          <w:divsChild>
            <w:div w:id="1494881189">
              <w:marLeft w:val="0"/>
              <w:marRight w:val="0"/>
              <w:marTop w:val="0"/>
              <w:marBottom w:val="0"/>
              <w:divBdr>
                <w:top w:val="none" w:sz="0" w:space="0" w:color="auto"/>
                <w:left w:val="none" w:sz="0" w:space="0" w:color="auto"/>
                <w:bottom w:val="none" w:sz="0" w:space="0" w:color="auto"/>
                <w:right w:val="none" w:sz="0" w:space="0" w:color="auto"/>
              </w:divBdr>
              <w:divsChild>
                <w:div w:id="1726683991">
                  <w:marLeft w:val="0"/>
                  <w:marRight w:val="0"/>
                  <w:marTop w:val="0"/>
                  <w:marBottom w:val="0"/>
                  <w:divBdr>
                    <w:top w:val="none" w:sz="0" w:space="0" w:color="auto"/>
                    <w:left w:val="none" w:sz="0" w:space="0" w:color="auto"/>
                    <w:bottom w:val="none" w:sz="0" w:space="0" w:color="auto"/>
                    <w:right w:val="none" w:sz="0" w:space="0" w:color="auto"/>
                  </w:divBdr>
                  <w:divsChild>
                    <w:div w:id="2036691612">
                      <w:marLeft w:val="0"/>
                      <w:marRight w:val="0"/>
                      <w:marTop w:val="0"/>
                      <w:marBottom w:val="0"/>
                      <w:divBdr>
                        <w:top w:val="none" w:sz="0" w:space="0" w:color="auto"/>
                        <w:left w:val="none" w:sz="0" w:space="0" w:color="auto"/>
                        <w:bottom w:val="none" w:sz="0" w:space="0" w:color="auto"/>
                        <w:right w:val="none" w:sz="0" w:space="0" w:color="auto"/>
                      </w:divBdr>
                      <w:divsChild>
                        <w:div w:id="576550743">
                          <w:marLeft w:val="0"/>
                          <w:marRight w:val="0"/>
                          <w:marTop w:val="0"/>
                          <w:marBottom w:val="0"/>
                          <w:divBdr>
                            <w:top w:val="none" w:sz="0" w:space="0" w:color="auto"/>
                            <w:left w:val="none" w:sz="0" w:space="0" w:color="auto"/>
                            <w:bottom w:val="none" w:sz="0" w:space="0" w:color="auto"/>
                            <w:right w:val="none" w:sz="0" w:space="0" w:color="auto"/>
                          </w:divBdr>
                          <w:divsChild>
                            <w:div w:id="492260835">
                              <w:marLeft w:val="0"/>
                              <w:marRight w:val="0"/>
                              <w:marTop w:val="0"/>
                              <w:marBottom w:val="0"/>
                              <w:divBdr>
                                <w:top w:val="none" w:sz="0" w:space="0" w:color="auto"/>
                                <w:left w:val="none" w:sz="0" w:space="0" w:color="auto"/>
                                <w:bottom w:val="none" w:sz="0" w:space="0" w:color="auto"/>
                                <w:right w:val="none" w:sz="0" w:space="0" w:color="auto"/>
                              </w:divBdr>
                              <w:divsChild>
                                <w:div w:id="696347499">
                                  <w:marLeft w:val="0"/>
                                  <w:marRight w:val="0"/>
                                  <w:marTop w:val="0"/>
                                  <w:marBottom w:val="0"/>
                                  <w:divBdr>
                                    <w:top w:val="none" w:sz="0" w:space="0" w:color="auto"/>
                                    <w:left w:val="none" w:sz="0" w:space="0" w:color="auto"/>
                                    <w:bottom w:val="none" w:sz="0" w:space="0" w:color="auto"/>
                                    <w:right w:val="none" w:sz="0" w:space="0" w:color="auto"/>
                                  </w:divBdr>
                                  <w:divsChild>
                                    <w:div w:id="1999964865">
                                      <w:marLeft w:val="0"/>
                                      <w:marRight w:val="0"/>
                                      <w:marTop w:val="0"/>
                                      <w:marBottom w:val="0"/>
                                      <w:divBdr>
                                        <w:top w:val="none" w:sz="0" w:space="0" w:color="auto"/>
                                        <w:left w:val="none" w:sz="0" w:space="0" w:color="auto"/>
                                        <w:bottom w:val="none" w:sz="0" w:space="0" w:color="auto"/>
                                        <w:right w:val="none" w:sz="0" w:space="0" w:color="auto"/>
                                      </w:divBdr>
                                      <w:divsChild>
                                        <w:div w:id="624387099">
                                          <w:marLeft w:val="0"/>
                                          <w:marRight w:val="0"/>
                                          <w:marTop w:val="0"/>
                                          <w:marBottom w:val="0"/>
                                          <w:divBdr>
                                            <w:top w:val="none" w:sz="0" w:space="0" w:color="auto"/>
                                            <w:left w:val="none" w:sz="0" w:space="0" w:color="auto"/>
                                            <w:bottom w:val="none" w:sz="0" w:space="0" w:color="auto"/>
                                            <w:right w:val="none" w:sz="0" w:space="0" w:color="auto"/>
                                          </w:divBdr>
                                          <w:divsChild>
                                            <w:div w:id="150112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4160309">
      <w:bodyDiv w:val="1"/>
      <w:marLeft w:val="0"/>
      <w:marRight w:val="0"/>
      <w:marTop w:val="0"/>
      <w:marBottom w:val="0"/>
      <w:divBdr>
        <w:top w:val="none" w:sz="0" w:space="0" w:color="auto"/>
        <w:left w:val="none" w:sz="0" w:space="0" w:color="auto"/>
        <w:bottom w:val="none" w:sz="0" w:space="0" w:color="auto"/>
        <w:right w:val="none" w:sz="0" w:space="0" w:color="auto"/>
      </w:divBdr>
      <w:divsChild>
        <w:div w:id="993726792">
          <w:marLeft w:val="0"/>
          <w:marRight w:val="0"/>
          <w:marTop w:val="0"/>
          <w:marBottom w:val="0"/>
          <w:divBdr>
            <w:top w:val="none" w:sz="0" w:space="0" w:color="auto"/>
            <w:left w:val="none" w:sz="0" w:space="0" w:color="auto"/>
            <w:bottom w:val="none" w:sz="0" w:space="0" w:color="auto"/>
            <w:right w:val="none" w:sz="0" w:space="0" w:color="auto"/>
          </w:divBdr>
          <w:divsChild>
            <w:div w:id="659967386">
              <w:marLeft w:val="0"/>
              <w:marRight w:val="0"/>
              <w:marTop w:val="0"/>
              <w:marBottom w:val="0"/>
              <w:divBdr>
                <w:top w:val="none" w:sz="0" w:space="0" w:color="auto"/>
                <w:left w:val="none" w:sz="0" w:space="0" w:color="auto"/>
                <w:bottom w:val="none" w:sz="0" w:space="0" w:color="auto"/>
                <w:right w:val="none" w:sz="0" w:space="0" w:color="auto"/>
              </w:divBdr>
              <w:divsChild>
                <w:div w:id="1459104815">
                  <w:marLeft w:val="0"/>
                  <w:marRight w:val="0"/>
                  <w:marTop w:val="0"/>
                  <w:marBottom w:val="0"/>
                  <w:divBdr>
                    <w:top w:val="none" w:sz="0" w:space="0" w:color="auto"/>
                    <w:left w:val="none" w:sz="0" w:space="0" w:color="auto"/>
                    <w:bottom w:val="none" w:sz="0" w:space="0" w:color="auto"/>
                    <w:right w:val="none" w:sz="0" w:space="0" w:color="auto"/>
                  </w:divBdr>
                  <w:divsChild>
                    <w:div w:id="835070844">
                      <w:marLeft w:val="0"/>
                      <w:marRight w:val="0"/>
                      <w:marTop w:val="0"/>
                      <w:marBottom w:val="0"/>
                      <w:divBdr>
                        <w:top w:val="none" w:sz="0" w:space="0" w:color="auto"/>
                        <w:left w:val="none" w:sz="0" w:space="0" w:color="auto"/>
                        <w:bottom w:val="none" w:sz="0" w:space="0" w:color="auto"/>
                        <w:right w:val="none" w:sz="0" w:space="0" w:color="auto"/>
                      </w:divBdr>
                      <w:divsChild>
                        <w:div w:id="1343580499">
                          <w:marLeft w:val="0"/>
                          <w:marRight w:val="0"/>
                          <w:marTop w:val="0"/>
                          <w:marBottom w:val="0"/>
                          <w:divBdr>
                            <w:top w:val="none" w:sz="0" w:space="0" w:color="auto"/>
                            <w:left w:val="none" w:sz="0" w:space="0" w:color="auto"/>
                            <w:bottom w:val="none" w:sz="0" w:space="0" w:color="auto"/>
                            <w:right w:val="none" w:sz="0" w:space="0" w:color="auto"/>
                          </w:divBdr>
                          <w:divsChild>
                            <w:div w:id="1736708896">
                              <w:marLeft w:val="0"/>
                              <w:marRight w:val="0"/>
                              <w:marTop w:val="0"/>
                              <w:marBottom w:val="0"/>
                              <w:divBdr>
                                <w:top w:val="none" w:sz="0" w:space="0" w:color="auto"/>
                                <w:left w:val="none" w:sz="0" w:space="0" w:color="auto"/>
                                <w:bottom w:val="none" w:sz="0" w:space="0" w:color="auto"/>
                                <w:right w:val="none" w:sz="0" w:space="0" w:color="auto"/>
                              </w:divBdr>
                              <w:divsChild>
                                <w:div w:id="2135830807">
                                  <w:marLeft w:val="0"/>
                                  <w:marRight w:val="0"/>
                                  <w:marTop w:val="0"/>
                                  <w:marBottom w:val="0"/>
                                  <w:divBdr>
                                    <w:top w:val="none" w:sz="0" w:space="0" w:color="auto"/>
                                    <w:left w:val="none" w:sz="0" w:space="0" w:color="auto"/>
                                    <w:bottom w:val="none" w:sz="0" w:space="0" w:color="auto"/>
                                    <w:right w:val="none" w:sz="0" w:space="0" w:color="auto"/>
                                  </w:divBdr>
                                  <w:divsChild>
                                    <w:div w:id="2052995089">
                                      <w:marLeft w:val="0"/>
                                      <w:marRight w:val="0"/>
                                      <w:marTop w:val="0"/>
                                      <w:marBottom w:val="0"/>
                                      <w:divBdr>
                                        <w:top w:val="none" w:sz="0" w:space="0" w:color="auto"/>
                                        <w:left w:val="none" w:sz="0" w:space="0" w:color="auto"/>
                                        <w:bottom w:val="none" w:sz="0" w:space="0" w:color="auto"/>
                                        <w:right w:val="none" w:sz="0" w:space="0" w:color="auto"/>
                                      </w:divBdr>
                                      <w:divsChild>
                                        <w:div w:id="671370972">
                                          <w:marLeft w:val="0"/>
                                          <w:marRight w:val="0"/>
                                          <w:marTop w:val="0"/>
                                          <w:marBottom w:val="0"/>
                                          <w:divBdr>
                                            <w:top w:val="none" w:sz="0" w:space="0" w:color="auto"/>
                                            <w:left w:val="none" w:sz="0" w:space="0" w:color="auto"/>
                                            <w:bottom w:val="none" w:sz="0" w:space="0" w:color="auto"/>
                                            <w:right w:val="none" w:sz="0" w:space="0" w:color="auto"/>
                                          </w:divBdr>
                                          <w:divsChild>
                                            <w:div w:id="867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094665">
      <w:bodyDiv w:val="1"/>
      <w:marLeft w:val="0"/>
      <w:marRight w:val="0"/>
      <w:marTop w:val="0"/>
      <w:marBottom w:val="0"/>
      <w:divBdr>
        <w:top w:val="none" w:sz="0" w:space="0" w:color="auto"/>
        <w:left w:val="none" w:sz="0" w:space="0" w:color="auto"/>
        <w:bottom w:val="none" w:sz="0" w:space="0" w:color="auto"/>
        <w:right w:val="none" w:sz="0" w:space="0" w:color="auto"/>
      </w:divBdr>
    </w:div>
    <w:div w:id="2133667833">
      <w:bodyDiv w:val="1"/>
      <w:marLeft w:val="0"/>
      <w:marRight w:val="0"/>
      <w:marTop w:val="0"/>
      <w:marBottom w:val="0"/>
      <w:divBdr>
        <w:top w:val="none" w:sz="0" w:space="0" w:color="auto"/>
        <w:left w:val="none" w:sz="0" w:space="0" w:color="auto"/>
        <w:bottom w:val="none" w:sz="0" w:space="0" w:color="auto"/>
        <w:right w:val="none" w:sz="0" w:space="0" w:color="auto"/>
      </w:divBdr>
      <w:divsChild>
        <w:div w:id="540244223">
          <w:marLeft w:val="0"/>
          <w:marRight w:val="0"/>
          <w:marTop w:val="0"/>
          <w:marBottom w:val="0"/>
          <w:divBdr>
            <w:top w:val="none" w:sz="0" w:space="0" w:color="auto"/>
            <w:left w:val="none" w:sz="0" w:space="0" w:color="auto"/>
            <w:bottom w:val="none" w:sz="0" w:space="0" w:color="auto"/>
            <w:right w:val="none" w:sz="0" w:space="0" w:color="auto"/>
          </w:divBdr>
          <w:divsChild>
            <w:div w:id="905917978">
              <w:marLeft w:val="0"/>
              <w:marRight w:val="0"/>
              <w:marTop w:val="0"/>
              <w:marBottom w:val="0"/>
              <w:divBdr>
                <w:top w:val="none" w:sz="0" w:space="0" w:color="auto"/>
                <w:left w:val="none" w:sz="0" w:space="0" w:color="auto"/>
                <w:bottom w:val="none" w:sz="0" w:space="0" w:color="auto"/>
                <w:right w:val="none" w:sz="0" w:space="0" w:color="auto"/>
              </w:divBdr>
              <w:divsChild>
                <w:div w:id="661811513">
                  <w:marLeft w:val="0"/>
                  <w:marRight w:val="0"/>
                  <w:marTop w:val="0"/>
                  <w:marBottom w:val="0"/>
                  <w:divBdr>
                    <w:top w:val="none" w:sz="0" w:space="0" w:color="auto"/>
                    <w:left w:val="none" w:sz="0" w:space="0" w:color="auto"/>
                    <w:bottom w:val="none" w:sz="0" w:space="0" w:color="auto"/>
                    <w:right w:val="none" w:sz="0" w:space="0" w:color="auto"/>
                  </w:divBdr>
                  <w:divsChild>
                    <w:div w:id="1486506967">
                      <w:marLeft w:val="0"/>
                      <w:marRight w:val="0"/>
                      <w:marTop w:val="0"/>
                      <w:marBottom w:val="0"/>
                      <w:divBdr>
                        <w:top w:val="none" w:sz="0" w:space="0" w:color="auto"/>
                        <w:left w:val="none" w:sz="0" w:space="0" w:color="auto"/>
                        <w:bottom w:val="none" w:sz="0" w:space="0" w:color="auto"/>
                        <w:right w:val="none" w:sz="0" w:space="0" w:color="auto"/>
                      </w:divBdr>
                      <w:divsChild>
                        <w:div w:id="98070194">
                          <w:marLeft w:val="0"/>
                          <w:marRight w:val="0"/>
                          <w:marTop w:val="0"/>
                          <w:marBottom w:val="0"/>
                          <w:divBdr>
                            <w:top w:val="none" w:sz="0" w:space="0" w:color="auto"/>
                            <w:left w:val="none" w:sz="0" w:space="0" w:color="auto"/>
                            <w:bottom w:val="none" w:sz="0" w:space="0" w:color="auto"/>
                            <w:right w:val="none" w:sz="0" w:space="0" w:color="auto"/>
                          </w:divBdr>
                          <w:divsChild>
                            <w:div w:id="887912803">
                              <w:marLeft w:val="0"/>
                              <w:marRight w:val="0"/>
                              <w:marTop w:val="0"/>
                              <w:marBottom w:val="0"/>
                              <w:divBdr>
                                <w:top w:val="none" w:sz="0" w:space="0" w:color="auto"/>
                                <w:left w:val="none" w:sz="0" w:space="0" w:color="auto"/>
                                <w:bottom w:val="none" w:sz="0" w:space="0" w:color="auto"/>
                                <w:right w:val="none" w:sz="0" w:space="0" w:color="auto"/>
                              </w:divBdr>
                              <w:divsChild>
                                <w:div w:id="592082563">
                                  <w:marLeft w:val="0"/>
                                  <w:marRight w:val="0"/>
                                  <w:marTop w:val="0"/>
                                  <w:marBottom w:val="0"/>
                                  <w:divBdr>
                                    <w:top w:val="none" w:sz="0" w:space="0" w:color="auto"/>
                                    <w:left w:val="none" w:sz="0" w:space="0" w:color="auto"/>
                                    <w:bottom w:val="none" w:sz="0" w:space="0" w:color="auto"/>
                                    <w:right w:val="none" w:sz="0" w:space="0" w:color="auto"/>
                                  </w:divBdr>
                                  <w:divsChild>
                                    <w:div w:id="1328366888">
                                      <w:marLeft w:val="0"/>
                                      <w:marRight w:val="0"/>
                                      <w:marTop w:val="0"/>
                                      <w:marBottom w:val="0"/>
                                      <w:divBdr>
                                        <w:top w:val="none" w:sz="0" w:space="0" w:color="auto"/>
                                        <w:left w:val="none" w:sz="0" w:space="0" w:color="auto"/>
                                        <w:bottom w:val="none" w:sz="0" w:space="0" w:color="auto"/>
                                        <w:right w:val="none" w:sz="0" w:space="0" w:color="auto"/>
                                      </w:divBdr>
                                      <w:divsChild>
                                        <w:div w:id="1176114910">
                                          <w:marLeft w:val="0"/>
                                          <w:marRight w:val="0"/>
                                          <w:marTop w:val="0"/>
                                          <w:marBottom w:val="0"/>
                                          <w:divBdr>
                                            <w:top w:val="none" w:sz="0" w:space="0" w:color="auto"/>
                                            <w:left w:val="none" w:sz="0" w:space="0" w:color="auto"/>
                                            <w:bottom w:val="none" w:sz="0" w:space="0" w:color="auto"/>
                                            <w:right w:val="none" w:sz="0" w:space="0" w:color="auto"/>
                                          </w:divBdr>
                                          <w:divsChild>
                                            <w:div w:id="121315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141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yperlink" Target="http://www.diandesa.org" TargetMode="External"/><Relationship Id="rId3" Type="http://schemas.openxmlformats.org/officeDocument/2006/relationships/numbering" Target="numbering.xml"/><Relationship Id="rId21" Type="http://schemas.openxmlformats.org/officeDocument/2006/relationships/hyperlink" Target="https://www.bps.go.id/statictable/2019/02/14/2015/impor-kedelai-menurut-negara-asal-utama-2010-2017" TargetMode="External"/><Relationship Id="rId7" Type="http://schemas.openxmlformats.org/officeDocument/2006/relationships/footnotes" Target="footnotes.xml"/><Relationship Id="rId12" Type="http://schemas.openxmlformats.org/officeDocument/2006/relationships/hyperlink" Target="https://goo.gl/forms/XP2gnZDKHJ8%20bjkpX2" TargetMode="External"/><Relationship Id="rId17" Type="http://schemas.openxmlformats.org/officeDocument/2006/relationships/hyperlink" Target="http://www.tungkuindonesia.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beritagar.id/artikel/gaya-hidup/pengguna-kayu-bakar-untuk-memasak-masih-timggi-di-indonesia" TargetMode="External"/><Relationship Id="rId20" Type="http://schemas.openxmlformats.org/officeDocument/2006/relationships/hyperlink" Target="https://www.esdm.go.id/id/media-center/arsip-berita/biogas-rumah-olah-limbah-jadi-berkah%20pada%2010/31/201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www.bppt.go.id"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1.jabarprov.go.id/index.php/pages/id/1051%20pada%208/1/2018" TargetMode="External"/><Relationship Id="rId4" Type="http://schemas.openxmlformats.org/officeDocument/2006/relationships/styles" Target="styles.xml"/><Relationship Id="rId9" Type="http://schemas.openxmlformats.org/officeDocument/2006/relationships/hyperlink" Target="mailto:handokomoekiran@ymail.com" TargetMode="External"/><Relationship Id="rId14" Type="http://schemas.openxmlformats.org/officeDocument/2006/relationships/chart" Target="charts/chart2.xml"/><Relationship Id="rId22" Type="http://schemas.openxmlformats.org/officeDocument/2006/relationships/hyperlink" Target="https://www.bps.go.id/linkTableDinamis/view/id/10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1"/>
          <c:order val="0"/>
          <c:tx>
            <c:strRef>
              <c:f>Sheet3!$D$3</c:f>
              <c:strCache>
                <c:ptCount val="1"/>
                <c:pt idx="0">
                  <c:v>Gas Elpiji</c:v>
                </c:pt>
              </c:strCache>
            </c:strRef>
          </c:tx>
          <c:marker>
            <c:symbol val="none"/>
          </c:marker>
          <c:cat>
            <c:numRef>
              <c:f>Sheet3!$B$4:$B$5</c:f>
              <c:numCache>
                <c:formatCode>General</c:formatCode>
                <c:ptCount val="2"/>
                <c:pt idx="0">
                  <c:v>2018</c:v>
                </c:pt>
                <c:pt idx="1">
                  <c:v>2025</c:v>
                </c:pt>
              </c:numCache>
            </c:numRef>
          </c:cat>
          <c:val>
            <c:numRef>
              <c:f>Sheet3!$D$4:$D$5</c:f>
              <c:numCache>
                <c:formatCode>General</c:formatCode>
                <c:ptCount val="2"/>
                <c:pt idx="0" formatCode="0">
                  <c:v>116007.52799999999</c:v>
                </c:pt>
                <c:pt idx="1">
                  <c:v>17123</c:v>
                </c:pt>
              </c:numCache>
            </c:numRef>
          </c:val>
          <c:smooth val="0"/>
          <c:extLst>
            <c:ext xmlns:c16="http://schemas.microsoft.com/office/drawing/2014/chart" uri="{C3380CC4-5D6E-409C-BE32-E72D297353CC}">
              <c16:uniqueId val="{00000000-21B5-41CF-BF58-DB9FC366816E}"/>
            </c:ext>
          </c:extLst>
        </c:ser>
        <c:ser>
          <c:idx val="2"/>
          <c:order val="1"/>
          <c:tx>
            <c:strRef>
              <c:f>Sheet3!$E$3</c:f>
              <c:strCache>
                <c:ptCount val="1"/>
                <c:pt idx="0">
                  <c:v>Padat</c:v>
                </c:pt>
              </c:strCache>
            </c:strRef>
          </c:tx>
          <c:marker>
            <c:symbol val="none"/>
          </c:marker>
          <c:cat>
            <c:numRef>
              <c:f>Sheet3!$B$4:$B$5</c:f>
              <c:numCache>
                <c:formatCode>General</c:formatCode>
                <c:ptCount val="2"/>
                <c:pt idx="0">
                  <c:v>2018</c:v>
                </c:pt>
                <c:pt idx="1">
                  <c:v>2025</c:v>
                </c:pt>
              </c:numCache>
            </c:numRef>
          </c:cat>
          <c:val>
            <c:numRef>
              <c:f>Sheet3!$E$4:$E$5</c:f>
              <c:numCache>
                <c:formatCode>General</c:formatCode>
                <c:ptCount val="2"/>
                <c:pt idx="0" formatCode="0">
                  <c:v>191858.60400000002</c:v>
                </c:pt>
                <c:pt idx="1">
                  <c:v>34622</c:v>
                </c:pt>
              </c:numCache>
            </c:numRef>
          </c:val>
          <c:smooth val="0"/>
          <c:extLst>
            <c:ext xmlns:c16="http://schemas.microsoft.com/office/drawing/2014/chart" uri="{C3380CC4-5D6E-409C-BE32-E72D297353CC}">
              <c16:uniqueId val="{00000001-21B5-41CF-BF58-DB9FC366816E}"/>
            </c:ext>
          </c:extLst>
        </c:ser>
        <c:ser>
          <c:idx val="3"/>
          <c:order val="2"/>
          <c:tx>
            <c:strRef>
              <c:f>Sheet3!$F$3</c:f>
              <c:strCache>
                <c:ptCount val="1"/>
                <c:pt idx="0">
                  <c:v>Biogas</c:v>
                </c:pt>
              </c:strCache>
            </c:strRef>
          </c:tx>
          <c:marker>
            <c:symbol val="none"/>
          </c:marker>
          <c:cat>
            <c:numRef>
              <c:f>Sheet3!$B$4:$B$5</c:f>
              <c:numCache>
                <c:formatCode>General</c:formatCode>
                <c:ptCount val="2"/>
                <c:pt idx="0">
                  <c:v>2018</c:v>
                </c:pt>
                <c:pt idx="1">
                  <c:v>2025</c:v>
                </c:pt>
              </c:numCache>
            </c:numRef>
          </c:cat>
          <c:val>
            <c:numRef>
              <c:f>Sheet3!$F$4:$F$5</c:f>
              <c:numCache>
                <c:formatCode>General</c:formatCode>
                <c:ptCount val="2"/>
                <c:pt idx="0" formatCode="0">
                  <c:v>63952.867999999995</c:v>
                </c:pt>
                <c:pt idx="1">
                  <c:v>330346</c:v>
                </c:pt>
              </c:numCache>
            </c:numRef>
          </c:val>
          <c:smooth val="0"/>
          <c:extLst>
            <c:ext xmlns:c16="http://schemas.microsoft.com/office/drawing/2014/chart" uri="{C3380CC4-5D6E-409C-BE32-E72D297353CC}">
              <c16:uniqueId val="{00000002-21B5-41CF-BF58-DB9FC366816E}"/>
            </c:ext>
          </c:extLst>
        </c:ser>
        <c:dLbls>
          <c:showLegendKey val="0"/>
          <c:showVal val="0"/>
          <c:showCatName val="0"/>
          <c:showSerName val="0"/>
          <c:showPercent val="0"/>
          <c:showBubbleSize val="0"/>
        </c:dLbls>
        <c:smooth val="0"/>
        <c:axId val="1923952352"/>
        <c:axId val="1923948544"/>
      </c:lineChart>
      <c:catAx>
        <c:axId val="1923952352"/>
        <c:scaling>
          <c:orientation val="minMax"/>
        </c:scaling>
        <c:delete val="0"/>
        <c:axPos val="b"/>
        <c:numFmt formatCode="General" sourceLinked="1"/>
        <c:majorTickMark val="out"/>
        <c:minorTickMark val="none"/>
        <c:tickLblPos val="nextTo"/>
        <c:crossAx val="1923948544"/>
        <c:crosses val="autoZero"/>
        <c:auto val="1"/>
        <c:lblAlgn val="ctr"/>
        <c:lblOffset val="100"/>
        <c:noMultiLvlLbl val="0"/>
      </c:catAx>
      <c:valAx>
        <c:axId val="1923948544"/>
        <c:scaling>
          <c:orientation val="minMax"/>
        </c:scaling>
        <c:delete val="0"/>
        <c:axPos val="l"/>
        <c:majorGridlines/>
        <c:numFmt formatCode="0" sourceLinked="1"/>
        <c:majorTickMark val="out"/>
        <c:minorTickMark val="none"/>
        <c:tickLblPos val="nextTo"/>
        <c:crossAx val="1923952352"/>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2"/>
          <c:order val="0"/>
          <c:tx>
            <c:strRef>
              <c:f>Sheet3!$D$22</c:f>
              <c:strCache>
                <c:ptCount val="1"/>
                <c:pt idx="0">
                  <c:v>Gas Elpiji</c:v>
                </c:pt>
              </c:strCache>
            </c:strRef>
          </c:tx>
          <c:marker>
            <c:symbol val="none"/>
          </c:marker>
          <c:cat>
            <c:numRef>
              <c:f>Sheet3!$B$23:$B$24</c:f>
              <c:numCache>
                <c:formatCode>General</c:formatCode>
                <c:ptCount val="2"/>
                <c:pt idx="0">
                  <c:v>2018</c:v>
                </c:pt>
                <c:pt idx="1">
                  <c:v>2025</c:v>
                </c:pt>
              </c:numCache>
            </c:numRef>
          </c:cat>
          <c:val>
            <c:numRef>
              <c:f>Sheet3!$D$23:$D$24</c:f>
              <c:numCache>
                <c:formatCode>0.0</c:formatCode>
                <c:ptCount val="2"/>
                <c:pt idx="0">
                  <c:v>50.313900000000004</c:v>
                </c:pt>
                <c:pt idx="1">
                  <c:v>17.600000000000001</c:v>
                </c:pt>
              </c:numCache>
            </c:numRef>
          </c:val>
          <c:smooth val="0"/>
          <c:extLst>
            <c:ext xmlns:c16="http://schemas.microsoft.com/office/drawing/2014/chart" uri="{C3380CC4-5D6E-409C-BE32-E72D297353CC}">
              <c16:uniqueId val="{00000000-4476-4FD9-BFF8-7B4D56F0697F}"/>
            </c:ext>
          </c:extLst>
        </c:ser>
        <c:ser>
          <c:idx val="3"/>
          <c:order val="1"/>
          <c:tx>
            <c:strRef>
              <c:f>Sheet3!$E$22</c:f>
              <c:strCache>
                <c:ptCount val="1"/>
                <c:pt idx="0">
                  <c:v>Padat</c:v>
                </c:pt>
              </c:strCache>
            </c:strRef>
          </c:tx>
          <c:marker>
            <c:symbol val="none"/>
          </c:marker>
          <c:cat>
            <c:numRef>
              <c:f>Sheet3!$B$23:$B$24</c:f>
              <c:numCache>
                <c:formatCode>General</c:formatCode>
                <c:ptCount val="2"/>
                <c:pt idx="0">
                  <c:v>2018</c:v>
                </c:pt>
                <c:pt idx="1">
                  <c:v>2025</c:v>
                </c:pt>
              </c:numCache>
            </c:numRef>
          </c:cat>
          <c:val>
            <c:numRef>
              <c:f>Sheet3!$E$23:$E$24</c:f>
              <c:numCache>
                <c:formatCode>0.0</c:formatCode>
                <c:ptCount val="2"/>
                <c:pt idx="0">
                  <c:v>15.413300000000001</c:v>
                </c:pt>
                <c:pt idx="1">
                  <c:v>46.9392</c:v>
                </c:pt>
              </c:numCache>
            </c:numRef>
          </c:val>
          <c:smooth val="0"/>
          <c:extLst>
            <c:ext xmlns:c16="http://schemas.microsoft.com/office/drawing/2014/chart" uri="{C3380CC4-5D6E-409C-BE32-E72D297353CC}">
              <c16:uniqueId val="{00000001-4476-4FD9-BFF8-7B4D56F0697F}"/>
            </c:ext>
          </c:extLst>
        </c:ser>
        <c:ser>
          <c:idx val="4"/>
          <c:order val="2"/>
          <c:tx>
            <c:strRef>
              <c:f>Sheet3!$F$22</c:f>
              <c:strCache>
                <c:ptCount val="1"/>
                <c:pt idx="0">
                  <c:v>Biogas</c:v>
                </c:pt>
              </c:strCache>
            </c:strRef>
          </c:tx>
          <c:marker>
            <c:symbol val="none"/>
          </c:marker>
          <c:cat>
            <c:numRef>
              <c:f>Sheet3!$B$23:$B$24</c:f>
              <c:numCache>
                <c:formatCode>General</c:formatCode>
                <c:ptCount val="2"/>
                <c:pt idx="0">
                  <c:v>2018</c:v>
                </c:pt>
                <c:pt idx="1">
                  <c:v>2025</c:v>
                </c:pt>
              </c:numCache>
            </c:numRef>
          </c:cat>
          <c:val>
            <c:numRef>
              <c:f>Sheet3!$F$23:$F$24</c:f>
              <c:numCache>
                <c:formatCode>0.0</c:formatCode>
                <c:ptCount val="2"/>
                <c:pt idx="0">
                  <c:v>2.1728000000000005</c:v>
                </c:pt>
                <c:pt idx="1">
                  <c:v>8.5359999999999996</c:v>
                </c:pt>
              </c:numCache>
            </c:numRef>
          </c:val>
          <c:smooth val="0"/>
          <c:extLst>
            <c:ext xmlns:c16="http://schemas.microsoft.com/office/drawing/2014/chart" uri="{C3380CC4-5D6E-409C-BE32-E72D297353CC}">
              <c16:uniqueId val="{00000002-4476-4FD9-BFF8-7B4D56F0697F}"/>
            </c:ext>
          </c:extLst>
        </c:ser>
        <c:dLbls>
          <c:showLegendKey val="0"/>
          <c:showVal val="0"/>
          <c:showCatName val="0"/>
          <c:showSerName val="0"/>
          <c:showPercent val="0"/>
          <c:showBubbleSize val="0"/>
        </c:dLbls>
        <c:smooth val="0"/>
        <c:axId val="1923950720"/>
        <c:axId val="1923951264"/>
      </c:lineChart>
      <c:catAx>
        <c:axId val="1923950720"/>
        <c:scaling>
          <c:orientation val="minMax"/>
        </c:scaling>
        <c:delete val="0"/>
        <c:axPos val="b"/>
        <c:numFmt formatCode="General" sourceLinked="1"/>
        <c:majorTickMark val="out"/>
        <c:minorTickMark val="none"/>
        <c:tickLblPos val="nextTo"/>
        <c:crossAx val="1923951264"/>
        <c:crosses val="autoZero"/>
        <c:auto val="1"/>
        <c:lblAlgn val="ctr"/>
        <c:lblOffset val="100"/>
        <c:noMultiLvlLbl val="0"/>
      </c:catAx>
      <c:valAx>
        <c:axId val="1923951264"/>
        <c:scaling>
          <c:orientation val="minMax"/>
        </c:scaling>
        <c:delete val="0"/>
        <c:axPos val="l"/>
        <c:majorGridlines/>
        <c:numFmt formatCode="0.0" sourceLinked="1"/>
        <c:majorTickMark val="out"/>
        <c:minorTickMark val="none"/>
        <c:tickLblPos val="nextTo"/>
        <c:crossAx val="1923950720"/>
        <c:crosses val="autoZero"/>
        <c:crossBetween val="between"/>
      </c:valAx>
    </c:plotArea>
    <c:legend>
      <c:legendPos val="r"/>
      <c:overlay val="0"/>
    </c:legend>
    <c:plotVisOnly val="1"/>
    <c:dispBlanksAs val="gap"/>
    <c:showDLblsOverMax val="0"/>
  </c:chart>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A20E943B2C4EAEBDE1C9127E2EAF67"/>
        <w:category>
          <w:name w:val="General"/>
          <w:gallery w:val="placeholder"/>
        </w:category>
        <w:types>
          <w:type w:val="bbPlcHdr"/>
        </w:types>
        <w:behaviors>
          <w:behavior w:val="content"/>
        </w:behaviors>
        <w:guid w:val="{0CC531AB-549B-4FBF-9227-2BD2475D0386}"/>
      </w:docPartPr>
      <w:docPartBody>
        <w:p w:rsidR="009E5D2C" w:rsidRDefault="00690BB7" w:rsidP="00690BB7">
          <w:pPr>
            <w:pStyle w:val="F8A20E943B2C4EAEBDE1C9127E2EAF67"/>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2"/>
  </w:compat>
  <w:rsids>
    <w:rsidRoot w:val="005B3356"/>
    <w:rsid w:val="0004080D"/>
    <w:rsid w:val="00063D73"/>
    <w:rsid w:val="00077E6E"/>
    <w:rsid w:val="000F5741"/>
    <w:rsid w:val="001B1D20"/>
    <w:rsid w:val="001C7445"/>
    <w:rsid w:val="00255569"/>
    <w:rsid w:val="003213FE"/>
    <w:rsid w:val="00390A4F"/>
    <w:rsid w:val="003B7504"/>
    <w:rsid w:val="003D70CF"/>
    <w:rsid w:val="004213A9"/>
    <w:rsid w:val="00425059"/>
    <w:rsid w:val="004A6B6A"/>
    <w:rsid w:val="00525683"/>
    <w:rsid w:val="00590513"/>
    <w:rsid w:val="005B3356"/>
    <w:rsid w:val="00620D07"/>
    <w:rsid w:val="00661C8D"/>
    <w:rsid w:val="006760DF"/>
    <w:rsid w:val="00690BB7"/>
    <w:rsid w:val="0073505D"/>
    <w:rsid w:val="007541EE"/>
    <w:rsid w:val="00794AA5"/>
    <w:rsid w:val="008040E2"/>
    <w:rsid w:val="008056EF"/>
    <w:rsid w:val="0084638B"/>
    <w:rsid w:val="009E5D2C"/>
    <w:rsid w:val="00A03FC0"/>
    <w:rsid w:val="00A25E2D"/>
    <w:rsid w:val="00A30A4B"/>
    <w:rsid w:val="00A66F21"/>
    <w:rsid w:val="00AB412E"/>
    <w:rsid w:val="00AE564F"/>
    <w:rsid w:val="00B44318"/>
    <w:rsid w:val="00B91300"/>
    <w:rsid w:val="00C10C1B"/>
    <w:rsid w:val="00C67112"/>
    <w:rsid w:val="00CE3D1E"/>
    <w:rsid w:val="00D57230"/>
    <w:rsid w:val="00DC1633"/>
    <w:rsid w:val="00E84933"/>
    <w:rsid w:val="00F50989"/>
    <w:rsid w:val="00FC2E30"/>
    <w:rsid w:val="00FE44BA"/>
  </w:rsids>
  <m:mathPr>
    <m:mathFont m:val="Cambria Math"/>
    <m:brkBin m:val="before"/>
    <m:brkBinSub m:val="--"/>
    <m:smallFrac/>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570F414F614D468B8B726DA00182EB">
    <w:name w:val="27570F414F614D468B8B726DA00182EB"/>
    <w:rsid w:val="005B3356"/>
  </w:style>
  <w:style w:type="paragraph" w:customStyle="1" w:styleId="F0737F2AF8084A93B3A7E9001FB48224">
    <w:name w:val="F0737F2AF8084A93B3A7E9001FB48224"/>
    <w:rsid w:val="005B3356"/>
  </w:style>
  <w:style w:type="paragraph" w:customStyle="1" w:styleId="A6D918DAF5264E9FA34702A267B652CF">
    <w:name w:val="A6D918DAF5264E9FA34702A267B652CF"/>
    <w:rsid w:val="005B3356"/>
  </w:style>
  <w:style w:type="paragraph" w:customStyle="1" w:styleId="81B4625EC8304C30B316CFFC7AB0330D">
    <w:name w:val="81B4625EC8304C30B316CFFC7AB0330D"/>
    <w:rsid w:val="00A25E2D"/>
  </w:style>
  <w:style w:type="paragraph" w:customStyle="1" w:styleId="F8A20E943B2C4EAEBDE1C9127E2EAF67">
    <w:name w:val="F8A20E943B2C4EAEBDE1C9127E2EAF67"/>
    <w:rsid w:val="00690BB7"/>
    <w:rPr>
      <w:lang w:eastAsia="ja-JP"/>
    </w:rPr>
  </w:style>
  <w:style w:type="character" w:styleId="PlaceholderText">
    <w:name w:val="Placeholder Text"/>
    <w:basedOn w:val="DefaultParagraphFont"/>
    <w:uiPriority w:val="99"/>
    <w:semiHidden/>
    <w:rsid w:val="004250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2013-11-29T00:00:00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193A5B-D725-4190-9E87-0DF24DCBC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5032</Words>
  <Characters>28689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Proceedings Template - WORD</vt:lpstr>
    </vt:vector>
  </TitlesOfParts>
  <Company>Colorado School of Mines</Company>
  <LinksUpToDate>false</LinksUpToDate>
  <CharactersWithSpaces>33654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creator>Michael A. DeLucia</dc:creator>
  <cp:lastModifiedBy>Mohamad, Handoko</cp:lastModifiedBy>
  <cp:revision>2</cp:revision>
  <cp:lastPrinted>2019-08-14T04:33:00Z</cp:lastPrinted>
  <dcterms:created xsi:type="dcterms:W3CDTF">2019-08-14T17:45:00Z</dcterms:created>
  <dcterms:modified xsi:type="dcterms:W3CDTF">2019-08-14T17:45:00Z</dcterms:modified>
</cp:coreProperties>
</file>